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AD464" w14:textId="0AFF9F4B" w:rsidR="009947CE" w:rsidRPr="00893E8B" w:rsidRDefault="005422D0" w:rsidP="005C1CA7">
      <w:pPr>
        <w:pStyle w:val="Ttulo1"/>
        <w:rPr>
          <w:sz w:val="36"/>
          <w:szCs w:val="36"/>
        </w:rPr>
      </w:pPr>
      <w:r w:rsidRPr="00893E8B">
        <w:rPr>
          <w:sz w:val="36"/>
          <w:szCs w:val="36"/>
        </w:rPr>
        <w:t>CO</w:t>
      </w:r>
      <w:r w:rsidR="00325448" w:rsidRPr="00893E8B">
        <w:rPr>
          <w:sz w:val="36"/>
          <w:szCs w:val="36"/>
        </w:rPr>
        <w:t>ME</w:t>
      </w:r>
      <w:r w:rsidR="00392FC1" w:rsidRPr="00893E8B">
        <w:rPr>
          <w:sz w:val="36"/>
          <w:szCs w:val="36"/>
        </w:rPr>
        <w:t>N</w:t>
      </w:r>
      <w:r w:rsidR="00922BA9" w:rsidRPr="00893E8B">
        <w:rPr>
          <w:sz w:val="36"/>
          <w:szCs w:val="36"/>
        </w:rPr>
        <w:t>TARIOS</w:t>
      </w:r>
      <w:r w:rsidR="009947CE" w:rsidRPr="00893E8B">
        <w:rPr>
          <w:sz w:val="36"/>
          <w:szCs w:val="36"/>
        </w:rPr>
        <w:t xml:space="preserve"> A</w:t>
      </w:r>
      <w:r w:rsidR="00986604" w:rsidRPr="00893E8B">
        <w:rPr>
          <w:sz w:val="36"/>
          <w:szCs w:val="36"/>
        </w:rPr>
        <w:t>L AN</w:t>
      </w:r>
      <w:r w:rsidR="00E226B1" w:rsidRPr="00893E8B">
        <w:rPr>
          <w:sz w:val="36"/>
          <w:szCs w:val="36"/>
        </w:rPr>
        <w:t>ÁLI</w:t>
      </w:r>
      <w:r w:rsidR="00192BA9" w:rsidRPr="00893E8B">
        <w:rPr>
          <w:sz w:val="36"/>
          <w:szCs w:val="36"/>
        </w:rPr>
        <w:t>SIS</w:t>
      </w:r>
      <w:r w:rsidR="0089702D" w:rsidRPr="00893E8B">
        <w:rPr>
          <w:sz w:val="36"/>
          <w:szCs w:val="36"/>
        </w:rPr>
        <w:t xml:space="preserve"> REA</w:t>
      </w:r>
      <w:r w:rsidR="00561D1A" w:rsidRPr="00893E8B">
        <w:rPr>
          <w:sz w:val="36"/>
          <w:szCs w:val="36"/>
        </w:rPr>
        <w:t>LIZA</w:t>
      </w:r>
      <w:r w:rsidR="00912005" w:rsidRPr="00893E8B">
        <w:rPr>
          <w:sz w:val="36"/>
          <w:szCs w:val="36"/>
        </w:rPr>
        <w:t>DO</w:t>
      </w:r>
      <w:r w:rsidR="0049776A" w:rsidRPr="00893E8B">
        <w:rPr>
          <w:sz w:val="36"/>
          <w:szCs w:val="36"/>
        </w:rPr>
        <w:t xml:space="preserve"> Y</w:t>
      </w:r>
      <w:r w:rsidR="005D481A" w:rsidRPr="00893E8B">
        <w:rPr>
          <w:sz w:val="36"/>
          <w:szCs w:val="36"/>
        </w:rPr>
        <w:t xml:space="preserve"> A</w:t>
      </w:r>
      <w:r w:rsidR="009947CE" w:rsidRPr="00893E8B">
        <w:rPr>
          <w:sz w:val="36"/>
          <w:szCs w:val="36"/>
        </w:rPr>
        <w:t xml:space="preserve"> LOS REQUERIMIENTOS FORMULADOS POR LA AUTORIDAD NACIONAL DE LOS SERVICIOS PÚBLICOS (ASEP) SOBRE PÉRDIDAS DE ENERGÍA – ENSA</w:t>
      </w:r>
      <w:r w:rsidR="000F646B" w:rsidRPr="00893E8B">
        <w:rPr>
          <w:sz w:val="36"/>
          <w:szCs w:val="36"/>
        </w:rPr>
        <w:t xml:space="preserve"> </w:t>
      </w:r>
      <w:r w:rsidR="00885C3A" w:rsidRPr="00893E8B">
        <w:rPr>
          <w:sz w:val="36"/>
          <w:szCs w:val="36"/>
        </w:rPr>
        <w:t xml:space="preserve">A </w:t>
      </w:r>
      <w:r w:rsidR="00D55456" w:rsidRPr="00893E8B">
        <w:rPr>
          <w:sz w:val="36"/>
          <w:szCs w:val="36"/>
        </w:rPr>
        <w:t>T</w:t>
      </w:r>
      <w:r w:rsidR="005D5633" w:rsidRPr="00893E8B">
        <w:rPr>
          <w:sz w:val="36"/>
          <w:szCs w:val="36"/>
        </w:rPr>
        <w:t>RAV</w:t>
      </w:r>
      <w:r w:rsidR="00C04984" w:rsidRPr="00893E8B">
        <w:rPr>
          <w:sz w:val="36"/>
          <w:szCs w:val="36"/>
        </w:rPr>
        <w:t xml:space="preserve">ÉS DEL </w:t>
      </w:r>
      <w:r w:rsidR="00136561" w:rsidRPr="00893E8B">
        <w:rPr>
          <w:sz w:val="36"/>
          <w:szCs w:val="36"/>
        </w:rPr>
        <w:t>D</w:t>
      </w:r>
      <w:r w:rsidR="00E807A6" w:rsidRPr="00893E8B">
        <w:rPr>
          <w:sz w:val="36"/>
          <w:szCs w:val="36"/>
        </w:rPr>
        <w:t>OCUMENTO</w:t>
      </w:r>
      <w:r w:rsidR="00457894" w:rsidRPr="00893E8B">
        <w:rPr>
          <w:sz w:val="36"/>
          <w:szCs w:val="36"/>
        </w:rPr>
        <w:t>:</w:t>
      </w:r>
      <w:r w:rsidR="00BA2E4C" w:rsidRPr="00893E8B">
        <w:rPr>
          <w:sz w:val="36"/>
          <w:szCs w:val="36"/>
        </w:rPr>
        <w:t xml:space="preserve"> </w:t>
      </w:r>
      <w:r w:rsidR="00BA2E4C" w:rsidRPr="00893E8B">
        <w:rPr>
          <w:i/>
          <w:iCs/>
          <w:sz w:val="36"/>
          <w:szCs w:val="36"/>
        </w:rPr>
        <w:t>Metodología de Cálculo del IMP para el período Julio 2026 a Junio 2030</w:t>
      </w:r>
      <w:r w:rsidR="00E03A22" w:rsidRPr="00893E8B">
        <w:rPr>
          <w:i/>
          <w:iCs/>
          <w:sz w:val="36"/>
          <w:szCs w:val="36"/>
        </w:rPr>
        <w:t>.</w:t>
      </w:r>
    </w:p>
    <w:p w14:paraId="2AA53DCF" w14:textId="77777777" w:rsidR="00CA4FFC" w:rsidRPr="00893E8B" w:rsidRDefault="00CA4FFC"/>
    <w:p w14:paraId="4F26E511" w14:textId="77777777" w:rsidR="00323A1B" w:rsidRPr="00893E8B" w:rsidRDefault="00323A1B" w:rsidP="00323A1B">
      <w:pPr>
        <w:spacing w:line="278" w:lineRule="auto"/>
        <w:jc w:val="both"/>
      </w:pPr>
      <w:r w:rsidRPr="00893E8B">
        <w:rPr>
          <w:b/>
          <w:bCs/>
        </w:rPr>
        <w:t>RESUMEN EJECUTIVO</w:t>
      </w:r>
    </w:p>
    <w:p w14:paraId="222E8A0E" w14:textId="77777777" w:rsidR="00323A1B" w:rsidRPr="00893E8B" w:rsidRDefault="00323A1B" w:rsidP="00323A1B">
      <w:pPr>
        <w:spacing w:line="278" w:lineRule="auto"/>
        <w:jc w:val="both"/>
      </w:pPr>
      <w:r w:rsidRPr="00893E8B">
        <w:t>En atención al informe emitido por la Autoridad Nacional de los Servicios Públicos (ASEP) relativo a la “Metodología de Cálculo del IMP para el período julio 2026 – junio 2030”, ENSA remite el presente documento con el propósito de dar respuesta a los comentarios y requerimientos formulados, así como aportar elementos técnicos adicionales que contribuyan a una mejor comprensión de la naturaleza y magnitud de las pérdidas de energía en nuestra área de concesión.</w:t>
      </w:r>
    </w:p>
    <w:p w14:paraId="6E72FC7F" w14:textId="77777777" w:rsidR="00323A1B" w:rsidRPr="00893E8B" w:rsidRDefault="00323A1B" w:rsidP="00323A1B">
      <w:pPr>
        <w:spacing w:line="278" w:lineRule="auto"/>
        <w:jc w:val="both"/>
      </w:pPr>
      <w:r w:rsidRPr="00893E8B">
        <w:t xml:space="preserve">Como punto de partida, es importante destacar que la información solicitada por vuestra Autoridad respecto a la caracterización de zonas, estimación de pérdidas, conexiones irregulares, balances de energía y acciones implementadas, fue oportunamente remitida mediante el Informe de Afectaciones Extraordinarias por Pérdidas de Energía (mayo 2025 a través de nota VPER-170-25), la nota VI-069-2026 y sus anexos, incluyendo bases de datos detalladas sustentadas en </w:t>
      </w:r>
      <w:proofErr w:type="spellStart"/>
      <w:r w:rsidRPr="00893E8B">
        <w:t>macromedición</w:t>
      </w:r>
      <w:proofErr w:type="spellEnd"/>
      <w:r w:rsidRPr="00893E8B">
        <w:t>, información comercial y metodologías de estimación técnica. En ese sentido, el presente documento busca principalmente reforzar, aclarar y dar mayor trazabilidad a dicha información.</w:t>
      </w:r>
    </w:p>
    <w:p w14:paraId="4C4D83EE" w14:textId="77777777" w:rsidR="00323A1B" w:rsidRPr="00893E8B" w:rsidRDefault="00323A1B" w:rsidP="00323A1B">
      <w:pPr>
        <w:spacing w:line="278" w:lineRule="auto"/>
        <w:jc w:val="both"/>
      </w:pPr>
      <w:r w:rsidRPr="00893E8B">
        <w:t>Del análisis integral se desprenden tres elementos fundamentales. En primer lugar, la evidencia confirma que las pérdidas no técnicas en ENSA presentan un alto grado de concentración en zonas específicas con condiciones particulares, tales como zonas rojas, asentamientos ilegales y áreas de alta pérdida, cada una con características operativas, sociales y de acceso diferenciadas. Estas zonas, en conjunto, representan una proporción significativa de la problemática total y presentan limitaciones estructurales que condicionan la efectividad de las acciones convencionales de control.</w:t>
      </w:r>
    </w:p>
    <w:p w14:paraId="54CB1B99" w14:textId="654EE60C" w:rsidR="00323A1B" w:rsidRPr="00893E8B" w:rsidRDefault="00323A1B" w:rsidP="00323A1B">
      <w:pPr>
        <w:spacing w:line="278" w:lineRule="auto"/>
        <w:jc w:val="both"/>
      </w:pPr>
      <w:r w:rsidRPr="00893E8B">
        <w:t xml:space="preserve">En segundo lugar, la metodología utilizada por ENSA para la cuantificación de estas pérdidas se fundamenta en esquemas de balance energético por zona, apoyados en </w:t>
      </w:r>
      <w:proofErr w:type="spellStart"/>
      <w:r w:rsidRPr="00893E8B">
        <w:t>macromedición</w:t>
      </w:r>
      <w:proofErr w:type="spellEnd"/>
      <w:r w:rsidRPr="00893E8B">
        <w:t>, información comercial y procesos de extrapolación técnica en aquellos casos donde no es posible contar con medición directa.</w:t>
      </w:r>
      <w:r w:rsidR="00557DC9" w:rsidRPr="00893E8B">
        <w:t xml:space="preserve"> </w:t>
      </w:r>
      <w:r w:rsidRPr="00893E8B">
        <w:t xml:space="preserve">Este enfoque permite establecer estimaciones </w:t>
      </w:r>
      <w:r w:rsidRPr="00893E8B">
        <w:lastRenderedPageBreak/>
        <w:t>consistentes y trazables del orden de magnitud de la energía no facturada, alineadas con la realidad física y operativa de cada tipología de zona.</w:t>
      </w:r>
    </w:p>
    <w:p w14:paraId="0EEEAA21" w14:textId="77777777" w:rsidR="00323A1B" w:rsidRPr="00893E8B" w:rsidRDefault="00323A1B" w:rsidP="00323A1B">
      <w:pPr>
        <w:spacing w:line="278" w:lineRule="auto"/>
        <w:jc w:val="both"/>
      </w:pPr>
      <w:r w:rsidRPr="00893E8B">
        <w:t>En tercer lugar, se evidencia que ENSA ha implementado de manera sostenida un conjunto amplio de acciones orientadas a la reducción de pérdidas, incluyendo inversiones en bloqueo de red, programas de regularización de clientes, despliegue de medición avanzada y estrategias intensivas de inspección. Estas acciones han implicado inversiones y esfuerzos operativos significativos, y han permitido contener el crecimiento de las pérdidas; no obstante, su efectividad se ve limitada en determinados sectores por factores estructurales asociados a condiciones de informalidad, inseguridad y restricciones de acceso, cuya gestión trasciende el ámbito exclusivo de la empresa.</w:t>
      </w:r>
    </w:p>
    <w:p w14:paraId="75017CE4" w14:textId="5E88AE0E" w:rsidR="00323A1B" w:rsidRPr="00893E8B" w:rsidRDefault="00323A1B" w:rsidP="00323A1B">
      <w:pPr>
        <w:spacing w:line="278" w:lineRule="auto"/>
        <w:jc w:val="both"/>
      </w:pPr>
      <w:r w:rsidRPr="00893E8B">
        <w:t xml:space="preserve">A partir de lo anterior, se considera que las pérdidas extraordinarias presentadas por ENSA responden a condiciones específicas, debidamente identificadas, caracterizadas y cuantificadas mediante metodologías técnicas consistentes con la información disponible y la realidad operativa del sistema. En este sentido, los elementos aportados en el presente documento buscan complementar el análisis realizado por </w:t>
      </w:r>
      <w:r w:rsidR="00DB0110" w:rsidRPr="00893E8B">
        <w:t>su</w:t>
      </w:r>
      <w:r w:rsidRPr="00893E8B">
        <w:t xml:space="preserve"> Autoridad, fortaleciendo la trazabilidad, consistencia y sustento de la información previamente remitida.</w:t>
      </w:r>
    </w:p>
    <w:p w14:paraId="55212CEA" w14:textId="77777777" w:rsidR="00323A1B" w:rsidRPr="00893E8B" w:rsidRDefault="00323A1B" w:rsidP="00323A1B">
      <w:pPr>
        <w:jc w:val="both"/>
        <w:rPr>
          <w:b/>
          <w:bCs/>
        </w:rPr>
      </w:pPr>
      <w:r w:rsidRPr="00893E8B">
        <w:rPr>
          <w:b/>
          <w:bCs/>
        </w:rPr>
        <w:t>SOLICITUD</w:t>
      </w:r>
    </w:p>
    <w:p w14:paraId="74C4F109" w14:textId="77777777" w:rsidR="00323A1B" w:rsidRPr="00893E8B" w:rsidRDefault="00323A1B" w:rsidP="00323A1B">
      <w:pPr>
        <w:spacing w:line="278" w:lineRule="auto"/>
        <w:jc w:val="both"/>
      </w:pPr>
      <w:r w:rsidRPr="00893E8B">
        <w:t>En consecuencia, y con base en la evidencia técnica presentada, respetuosamente se solicita a su Autoridad considerar el reconocimiento de la totalidad de las pérdidas extraordinarias planteadas por ENSA, conforme al 2.97% debidamente sustentado.</w:t>
      </w:r>
    </w:p>
    <w:p w14:paraId="425FD2EA" w14:textId="77777777" w:rsidR="00323A1B" w:rsidRPr="00893E8B" w:rsidRDefault="00323A1B" w:rsidP="00323A1B">
      <w:pPr>
        <w:jc w:val="both"/>
      </w:pPr>
    </w:p>
    <w:p w14:paraId="785A2AC3" w14:textId="77777777" w:rsidR="00CA4FFC" w:rsidRPr="00893E8B" w:rsidRDefault="00CA4FFC"/>
    <w:p w14:paraId="05FFB96C" w14:textId="77777777" w:rsidR="00D438AC" w:rsidRPr="00893E8B" w:rsidRDefault="00D438AC"/>
    <w:p w14:paraId="48445F22" w14:textId="77777777" w:rsidR="00D438AC" w:rsidRPr="00893E8B" w:rsidRDefault="00D438AC"/>
    <w:p w14:paraId="316280FA" w14:textId="77777777" w:rsidR="00D438AC" w:rsidRPr="00893E8B" w:rsidRDefault="00D438AC"/>
    <w:p w14:paraId="714C6147" w14:textId="77777777" w:rsidR="00D438AC" w:rsidRPr="00893E8B" w:rsidRDefault="00D438AC"/>
    <w:p w14:paraId="28EFF215" w14:textId="77777777" w:rsidR="00D438AC" w:rsidRPr="00893E8B" w:rsidRDefault="00D438AC"/>
    <w:p w14:paraId="303F1A4D" w14:textId="77777777" w:rsidR="00262608" w:rsidRPr="00893E8B" w:rsidRDefault="00262608"/>
    <w:p w14:paraId="6C162529" w14:textId="77777777" w:rsidR="00262608" w:rsidRPr="00893E8B" w:rsidRDefault="00262608"/>
    <w:p w14:paraId="16547B94" w14:textId="77777777" w:rsidR="00262608" w:rsidRPr="00893E8B" w:rsidRDefault="00262608"/>
    <w:p w14:paraId="20B9E893" w14:textId="289C7C2C" w:rsidR="00CA4FFC" w:rsidRPr="00893E8B" w:rsidRDefault="00CA4FFC"/>
    <w:p w14:paraId="2AE349AD" w14:textId="77777777" w:rsidR="00CA4FFC" w:rsidRPr="00893E8B" w:rsidRDefault="00CA4FFC"/>
    <w:p w14:paraId="27BE6A59" w14:textId="77777777" w:rsidR="00CA4FFC" w:rsidRPr="00893E8B" w:rsidRDefault="00CA4FFC"/>
    <w:p w14:paraId="51F2B91F" w14:textId="6C8E3CC6" w:rsidR="009947CE" w:rsidRPr="00893E8B" w:rsidRDefault="009947CE" w:rsidP="001F7D79">
      <w:pPr>
        <w:jc w:val="both"/>
      </w:pPr>
      <w:r w:rsidRPr="00893E8B">
        <w:lastRenderedPageBreak/>
        <w:t xml:space="preserve">A </w:t>
      </w:r>
      <w:r w:rsidR="001F7D79" w:rsidRPr="00893E8B">
        <w:t>continuación,</w:t>
      </w:r>
      <w:r w:rsidRPr="00893E8B">
        <w:t xml:space="preserve"> se presentan las respuestas a los requerimientos formulados por la Autoridad Nacional de los Servicios Públicos (ASEP), con base en la información previamente remitida por ENSA en el Informe de Afectaciones Extraordinarias por Pérdidas de Energía en la zona de concesión de ENSA, </w:t>
      </w:r>
      <w:r w:rsidR="0095687D" w:rsidRPr="00893E8B">
        <w:t>mediante</w:t>
      </w:r>
      <w:r w:rsidR="00AE3D1A" w:rsidRPr="00893E8B">
        <w:t xml:space="preserve"> </w:t>
      </w:r>
      <w:r w:rsidRPr="00893E8B">
        <w:t>la nota VI-069-2026 y sus anexos.</w:t>
      </w:r>
    </w:p>
    <w:p w14:paraId="67B4CE53" w14:textId="77777777" w:rsidR="009947CE" w:rsidRPr="00893E8B" w:rsidRDefault="009947CE" w:rsidP="001F7D79">
      <w:pPr>
        <w:pStyle w:val="Ttulo2"/>
      </w:pPr>
      <w:r w:rsidRPr="00893E8B">
        <w:t>1. Identificación de zonas rojas</w:t>
      </w:r>
    </w:p>
    <w:p w14:paraId="1E5C2DDB" w14:textId="7119CBE1" w:rsidR="009947CE" w:rsidRPr="00893E8B" w:rsidRDefault="009947CE" w:rsidP="001F7D79">
      <w:pPr>
        <w:jc w:val="both"/>
      </w:pPr>
      <w:r w:rsidRPr="00893E8B">
        <w:t>Respecto del requerimiento relativo a la identificación de las zonas rojas, así como a la cantidad de clientes regulares, sus consumos, la estimación de conexiones irregulares y de la energía hurtada, corresponde señalar que dicha información fue desarrollada y remitida en la documentación presentada por ENSA a la ASEP</w:t>
      </w:r>
      <w:r w:rsidR="00BB612D" w:rsidRPr="00893E8B">
        <w:t xml:space="preserve">, a </w:t>
      </w:r>
      <w:r w:rsidR="00ED4CB4" w:rsidRPr="00893E8B">
        <w:t>tra</w:t>
      </w:r>
      <w:r w:rsidR="00EF19BB" w:rsidRPr="00893E8B">
        <w:t>vés</w:t>
      </w:r>
      <w:r w:rsidR="00353916" w:rsidRPr="00893E8B">
        <w:t xml:space="preserve"> de la pr</w:t>
      </w:r>
      <w:r w:rsidR="0039436A" w:rsidRPr="00893E8B">
        <w:t>eci</w:t>
      </w:r>
      <w:r w:rsidR="00D51F75" w:rsidRPr="00893E8B">
        <w:t>tada no</w:t>
      </w:r>
      <w:r w:rsidR="009F4DB4" w:rsidRPr="00893E8B">
        <w:t>ta</w:t>
      </w:r>
      <w:r w:rsidR="008437E4" w:rsidRPr="00893E8B">
        <w:t>.</w:t>
      </w:r>
    </w:p>
    <w:p w14:paraId="5157ED05" w14:textId="77777777" w:rsidR="009947CE" w:rsidRPr="00893E8B" w:rsidRDefault="009947CE" w:rsidP="001F7D79">
      <w:pPr>
        <w:jc w:val="both"/>
      </w:pPr>
      <w:r w:rsidRPr="00893E8B">
        <w:t xml:space="preserve">La definición y caracterización de las zonas rojas se encuentra en la </w:t>
      </w:r>
      <w:r w:rsidRPr="00893E8B">
        <w:rPr>
          <w:b/>
          <w:bCs/>
        </w:rPr>
        <w:t xml:space="preserve">Sección </w:t>
      </w:r>
      <w:proofErr w:type="spellStart"/>
      <w:r w:rsidRPr="00893E8B">
        <w:rPr>
          <w:b/>
          <w:bCs/>
        </w:rPr>
        <w:t>III.c</w:t>
      </w:r>
      <w:proofErr w:type="spellEnd"/>
      <w:r w:rsidRPr="00893E8B">
        <w:rPr>
          <w:b/>
          <w:bCs/>
        </w:rPr>
        <w:t xml:space="preserve"> del Informe de Afectaciones Extraordinarias por Pérdidas de Energía en la zona de concesión de ENSA, de mayo de 2025</w:t>
      </w:r>
      <w:r w:rsidRPr="00893E8B">
        <w:t xml:space="preserve">. En dicha sección se indica que se trata de sectores en los que los niveles de inseguridad y criminalidad comprometen directamente la integridad física del personal de ENSA y de sus contratistas. Asimismo, se reporta en estas áreas una elevada incidencia de conexiones ilegales, vandalismo recurrente contra la infraestructura eléctrica y resistencia sistemática a procesos comerciales regulares, tales como </w:t>
      </w:r>
      <w:r w:rsidRPr="00893E8B">
        <w:rPr>
          <w:b/>
          <w:bCs/>
        </w:rPr>
        <w:t>inspecciones, cortes, reconexiones, lectura de medidores y labores de construcción y mantenimiento</w:t>
      </w:r>
      <w:r w:rsidRPr="00893E8B">
        <w:t xml:space="preserve">. El informe también indica que, debido al riesgo operativo existente, las intervenciones en estos sectores requieren coordinación previa con la fuerza pública y, en numerosos casos, la ejecución de trabajos solo es posible bajo </w:t>
      </w:r>
      <w:r w:rsidRPr="00893E8B">
        <w:rPr>
          <w:b/>
          <w:bCs/>
        </w:rPr>
        <w:t>escolta policial</w:t>
      </w:r>
      <w:r w:rsidRPr="00893E8B">
        <w:t>.</w:t>
      </w:r>
    </w:p>
    <w:p w14:paraId="352CB714" w14:textId="77777777" w:rsidR="009947CE" w:rsidRPr="00893E8B" w:rsidRDefault="009947CE" w:rsidP="001F7D79">
      <w:pPr>
        <w:jc w:val="both"/>
      </w:pPr>
      <w:r w:rsidRPr="00893E8B">
        <w:t xml:space="preserve">Desde el punto de vista cuantitativo, la nota </w:t>
      </w:r>
      <w:r w:rsidRPr="00893E8B">
        <w:rPr>
          <w:b/>
          <w:bCs/>
        </w:rPr>
        <w:t>VI-069-2026</w:t>
      </w:r>
      <w:r w:rsidRPr="00893E8B">
        <w:t xml:space="preserve"> indica que las zonas rojas agrupan aproximadamente el </w:t>
      </w:r>
      <w:r w:rsidRPr="00893E8B">
        <w:rPr>
          <w:b/>
          <w:bCs/>
        </w:rPr>
        <w:t>34% de los clientes totales</w:t>
      </w:r>
      <w:r w:rsidRPr="00893E8B">
        <w:t xml:space="preserve"> de la empresa, equivalentes a unos </w:t>
      </w:r>
      <w:r w:rsidRPr="00893E8B">
        <w:rPr>
          <w:b/>
          <w:bCs/>
        </w:rPr>
        <w:t>189,000 clientes</w:t>
      </w:r>
      <w:r w:rsidRPr="00893E8B">
        <w:t xml:space="preserve">, y que el consumo de dichas zonas corresponde aproximadamente al </w:t>
      </w:r>
      <w:r w:rsidRPr="00893E8B">
        <w:rPr>
          <w:b/>
          <w:bCs/>
        </w:rPr>
        <w:t>25% de la energía distribuida</w:t>
      </w:r>
      <w:r w:rsidRPr="00893E8B">
        <w:t xml:space="preserve">, con un promedio mensual de </w:t>
      </w:r>
      <w:r w:rsidRPr="00893E8B">
        <w:rPr>
          <w:b/>
          <w:bCs/>
        </w:rPr>
        <w:t xml:space="preserve">98,041 </w:t>
      </w:r>
      <w:proofErr w:type="spellStart"/>
      <w:r w:rsidRPr="00893E8B">
        <w:rPr>
          <w:b/>
          <w:bCs/>
        </w:rPr>
        <w:t>MWh</w:t>
      </w:r>
      <w:proofErr w:type="spellEnd"/>
      <w:r w:rsidRPr="00893E8B">
        <w:rPr>
          <w:b/>
          <w:bCs/>
        </w:rPr>
        <w:t xml:space="preserve"> durante 2024</w:t>
      </w:r>
      <w:r w:rsidRPr="00893E8B">
        <w:t xml:space="preserve">. En esa misma respuesta se precisa, además, que las pérdidas no técnicas asociadas a estas zonas representan alrededor del </w:t>
      </w:r>
      <w:r w:rsidRPr="00893E8B">
        <w:rPr>
          <w:b/>
          <w:bCs/>
        </w:rPr>
        <w:t>31% de la pérdida total de ENSA</w:t>
      </w:r>
      <w:r w:rsidRPr="00893E8B">
        <w:t>.</w:t>
      </w:r>
    </w:p>
    <w:p w14:paraId="0F784113" w14:textId="58737176" w:rsidR="009947CE" w:rsidRPr="00893E8B" w:rsidRDefault="009947CE" w:rsidP="001F7D79">
      <w:pPr>
        <w:jc w:val="both"/>
      </w:pPr>
      <w:r w:rsidRPr="00893E8B">
        <w:t xml:space="preserve">En lo referente a la estimación de conexiones irregulares y de la energía hurtada, la información complementaria fue entregada en el archivo </w:t>
      </w:r>
      <w:r w:rsidRPr="00893E8B">
        <w:rPr>
          <w:b/>
          <w:bCs/>
        </w:rPr>
        <w:t>“20260127 Datos Pérdidas Extraordinarias.xlsx”</w:t>
      </w:r>
      <w:r w:rsidRPr="00893E8B">
        <w:t xml:space="preserve">, específicamente en la hoja </w:t>
      </w:r>
      <w:r w:rsidRPr="00893E8B">
        <w:rPr>
          <w:b/>
          <w:bCs/>
        </w:rPr>
        <w:t>“ZONA ROJA”</w:t>
      </w:r>
      <w:r w:rsidRPr="00893E8B">
        <w:t>, en la cual se presenta una desagregación por barrio y corregimiento que incluye, entre otros campos, la cantidad de clientes regulares, la energía de entrada, las pérdidas, el porcentaje de pérdidas no técnicas y la estimación de conexiones irregulares reportadas.</w:t>
      </w:r>
      <w:r w:rsidR="00477EEF" w:rsidRPr="00893E8B">
        <w:t xml:space="preserve"> </w:t>
      </w:r>
      <w:r w:rsidRPr="00893E8B">
        <w:t xml:space="preserve">La nota </w:t>
      </w:r>
      <w:r w:rsidRPr="00893E8B">
        <w:rPr>
          <w:b/>
          <w:bCs/>
        </w:rPr>
        <w:t>VI-069-2026</w:t>
      </w:r>
      <w:r w:rsidRPr="00893E8B">
        <w:t xml:space="preserve"> precisa expresamente que dicha información está respaldada con lecturas reales de </w:t>
      </w:r>
      <w:proofErr w:type="spellStart"/>
      <w:r w:rsidRPr="00893E8B">
        <w:t>macromedidores</w:t>
      </w:r>
      <w:proofErr w:type="spellEnd"/>
      <w:r w:rsidRPr="00893E8B">
        <w:t xml:space="preserve"> y con los sistemas internos de facturación y comerciales de ENSA, identificándose en esa base columnas tales como </w:t>
      </w:r>
      <w:r w:rsidRPr="00893E8B">
        <w:rPr>
          <w:b/>
          <w:bCs/>
        </w:rPr>
        <w:t>E_ENTRADA, E_PERD, %PERDNOTEC e ILEGALES REPORTADOS</w:t>
      </w:r>
      <w:r w:rsidRPr="00893E8B">
        <w:t>.</w:t>
      </w:r>
    </w:p>
    <w:p w14:paraId="13654255" w14:textId="77777777" w:rsidR="009947CE" w:rsidRPr="00893E8B" w:rsidRDefault="009947CE" w:rsidP="001F7D79">
      <w:pPr>
        <w:jc w:val="both"/>
      </w:pPr>
      <w:r w:rsidRPr="00893E8B">
        <w:t xml:space="preserve">En consecuencia, la metodología empleada para sustentar estas zonas no se basa en una estimación abstracta o no trazable, sino en un esquema de balance energético por polígono o zona, construido a partir de la energía medida mediante </w:t>
      </w:r>
      <w:proofErr w:type="spellStart"/>
      <w:r w:rsidRPr="00893E8B">
        <w:t>macromedición</w:t>
      </w:r>
      <w:proofErr w:type="spellEnd"/>
      <w:r w:rsidRPr="00893E8B">
        <w:t xml:space="preserve"> y contrastada contra la energía facturada a clientes regulares dentro de cada ámbito analizado. Bajo este enfoque, la energía hurtada corresponde a la diferencia entre la energía ingresada a la zona y la energía efectivamente facturada, una vez identificados los clientes regulares incluidos en el perímetro </w:t>
      </w:r>
      <w:r w:rsidRPr="00893E8B">
        <w:lastRenderedPageBreak/>
        <w:t xml:space="preserve">analizado. Esta lógica metodológica es consistente con lo indicado posteriormente en la respuesta relativa a balances de energía, donde se remite a la </w:t>
      </w:r>
      <w:r w:rsidRPr="00893E8B">
        <w:rPr>
          <w:b/>
          <w:bCs/>
        </w:rPr>
        <w:t>Sección IV del informe</w:t>
      </w:r>
      <w:r w:rsidRPr="00893E8B">
        <w:t xml:space="preserve"> y a los anexos de detalle por zona con variables como </w:t>
      </w:r>
      <w:r w:rsidRPr="00893E8B">
        <w:rPr>
          <w:b/>
          <w:bCs/>
        </w:rPr>
        <w:t>E_ENTRADA, E_SALIDA y E_PERD</w:t>
      </w:r>
      <w:r w:rsidRPr="00893E8B">
        <w:t>.</w:t>
      </w:r>
    </w:p>
    <w:p w14:paraId="2EAE74D9" w14:textId="77777777" w:rsidR="009947CE" w:rsidRPr="00893E8B" w:rsidRDefault="009947CE" w:rsidP="00D37BC9">
      <w:pPr>
        <w:jc w:val="both"/>
      </w:pPr>
      <w:r w:rsidRPr="00893E8B">
        <w:t xml:space="preserve">Adicionalmente, el informe de mayo de 2025 no solo describe la naturaleza operativa de las zonas rojas, sino que también documenta su impacto económico y operativo. Allí se indica que entre 2022 y 2024 ENSA incurrió en gastos de custodia policial para poder atender dichas zonas y que, aun con las inversiones en blindaje y bloqueo de red, la problemática no desaparece completamente, pues subsiste la necesidad de mantener una gestión operativa especial y más costosa que la del resto del sistema. El informe también señala que estas zonas presentan pérdidas en el orden del </w:t>
      </w:r>
      <w:r w:rsidRPr="00893E8B">
        <w:rPr>
          <w:b/>
          <w:bCs/>
        </w:rPr>
        <w:t>9%</w:t>
      </w:r>
      <w:r w:rsidRPr="00893E8B">
        <w:t xml:space="preserve"> y concentran una parte sustancial del problema de pérdidas no técnicas.</w:t>
      </w:r>
    </w:p>
    <w:p w14:paraId="75C5649F" w14:textId="1118B92B" w:rsidR="009947CE" w:rsidRPr="00893E8B" w:rsidRDefault="009947CE" w:rsidP="00D37BC9">
      <w:pPr>
        <w:jc w:val="both"/>
      </w:pPr>
      <w:r w:rsidRPr="00893E8B">
        <w:t xml:space="preserve">En síntesis, la información solicitada sobre zonas rojas fue atendida en dos niveles complementarios: (i) a nivel cualitativo, mediante la definición operativa, geográfica y de seguridad desarrollada en la </w:t>
      </w:r>
      <w:r w:rsidRPr="00893E8B">
        <w:rPr>
          <w:b/>
          <w:bCs/>
        </w:rPr>
        <w:t xml:space="preserve">Sección </w:t>
      </w:r>
      <w:proofErr w:type="spellStart"/>
      <w:r w:rsidRPr="00893E8B">
        <w:rPr>
          <w:b/>
          <w:bCs/>
        </w:rPr>
        <w:t>III.c</w:t>
      </w:r>
      <w:proofErr w:type="spellEnd"/>
      <w:r w:rsidRPr="00893E8B">
        <w:rPr>
          <w:b/>
          <w:bCs/>
        </w:rPr>
        <w:t xml:space="preserve"> del Informe 2025</w:t>
      </w:r>
      <w:r w:rsidRPr="00893E8B">
        <w:t>; y (</w:t>
      </w:r>
      <w:proofErr w:type="spellStart"/>
      <w:r w:rsidRPr="00893E8B">
        <w:t>ii</w:t>
      </w:r>
      <w:proofErr w:type="spellEnd"/>
      <w:r w:rsidRPr="00893E8B">
        <w:t xml:space="preserve">) a nivel cuantitativo, mediante la remisión de la base complementaria en Excel, sustentada en bases comerciales y lecturas de </w:t>
      </w:r>
      <w:proofErr w:type="spellStart"/>
      <w:r w:rsidRPr="00893E8B">
        <w:t>macromedición</w:t>
      </w:r>
      <w:proofErr w:type="spellEnd"/>
      <w:r w:rsidRPr="00893E8B">
        <w:t xml:space="preserve">, donde se detalla por barrio y corregimiento la cantidad de clientes regulares, la energía de entrada, las pérdidas y la estimación de conexiones irregulares. En ese sentido, no se está ante una ausencia de información, sino ante información ya remitida, cuya ruta documental corresponde a la </w:t>
      </w:r>
      <w:r w:rsidRPr="00893E8B">
        <w:rPr>
          <w:b/>
          <w:bCs/>
        </w:rPr>
        <w:t xml:space="preserve">Sección </w:t>
      </w:r>
      <w:proofErr w:type="spellStart"/>
      <w:r w:rsidRPr="00893E8B">
        <w:rPr>
          <w:b/>
          <w:bCs/>
        </w:rPr>
        <w:t>III.c</w:t>
      </w:r>
      <w:proofErr w:type="spellEnd"/>
      <w:r w:rsidRPr="00893E8B">
        <w:rPr>
          <w:b/>
          <w:bCs/>
        </w:rPr>
        <w:t xml:space="preserve"> del Informe de mayo de 2025</w:t>
      </w:r>
      <w:r w:rsidR="006C08E5" w:rsidRPr="00893E8B">
        <w:rPr>
          <w:b/>
          <w:bCs/>
        </w:rPr>
        <w:t xml:space="preserve"> </w:t>
      </w:r>
      <w:r w:rsidR="006C08E5" w:rsidRPr="00893E8B">
        <w:t>(</w:t>
      </w:r>
      <w:r w:rsidR="00C66CAD" w:rsidRPr="00893E8B">
        <w:t>remiti</w:t>
      </w:r>
      <w:r w:rsidR="00B55525" w:rsidRPr="00893E8B">
        <w:t>da me</w:t>
      </w:r>
      <w:r w:rsidR="005369C2" w:rsidRPr="00893E8B">
        <w:t xml:space="preserve">diante </w:t>
      </w:r>
      <w:r w:rsidR="00596851" w:rsidRPr="00893E8B">
        <w:t>nota</w:t>
      </w:r>
      <w:r w:rsidR="003C382E" w:rsidRPr="00893E8B">
        <w:t>VPER-170-25</w:t>
      </w:r>
      <w:r w:rsidR="006C08E5" w:rsidRPr="00893E8B">
        <w:t>)</w:t>
      </w:r>
      <w:r w:rsidRPr="00893E8B">
        <w:t xml:space="preserve"> y al archivo </w:t>
      </w:r>
      <w:r w:rsidRPr="00893E8B">
        <w:rPr>
          <w:b/>
          <w:bCs/>
        </w:rPr>
        <w:t>“20260127 Datos Pérdidas Extraordinarias.xlsx”, hoja “ZONA ROJA”</w:t>
      </w:r>
      <w:r w:rsidR="00766762" w:rsidRPr="00893E8B">
        <w:rPr>
          <w:b/>
          <w:bCs/>
        </w:rPr>
        <w:t xml:space="preserve"> </w:t>
      </w:r>
      <w:r w:rsidR="00317B9B" w:rsidRPr="00893E8B">
        <w:t>(</w:t>
      </w:r>
      <w:r w:rsidR="00063F36" w:rsidRPr="00893E8B">
        <w:t>re</w:t>
      </w:r>
      <w:r w:rsidR="000A46AD" w:rsidRPr="00893E8B">
        <w:t>mitid</w:t>
      </w:r>
      <w:r w:rsidR="00825C85" w:rsidRPr="00893E8B">
        <w:t xml:space="preserve">a </w:t>
      </w:r>
      <w:r w:rsidR="00BD2725" w:rsidRPr="00893E8B">
        <w:t>mediante not</w:t>
      </w:r>
      <w:r w:rsidR="00A440EB" w:rsidRPr="00893E8B">
        <w:t>a</w:t>
      </w:r>
      <w:r w:rsidR="00B4091D" w:rsidRPr="00893E8B">
        <w:t xml:space="preserve"> VI-069-2026</w:t>
      </w:r>
      <w:r w:rsidR="00317B9B" w:rsidRPr="00893E8B">
        <w:t>)</w:t>
      </w:r>
      <w:r w:rsidRPr="00893E8B">
        <w:t>.</w:t>
      </w:r>
    </w:p>
    <w:p w14:paraId="30B22604" w14:textId="77777777" w:rsidR="009947CE" w:rsidRPr="00893E8B" w:rsidRDefault="009947CE" w:rsidP="001F7D79">
      <w:pPr>
        <w:pStyle w:val="Ttulo2"/>
      </w:pPr>
      <w:r w:rsidRPr="00893E8B">
        <w:t>2. Asentamientos ilegales (invasiones)</w:t>
      </w:r>
    </w:p>
    <w:p w14:paraId="3D6943D7" w14:textId="3AC4BA79" w:rsidR="009947CE" w:rsidRPr="00893E8B" w:rsidRDefault="009947CE" w:rsidP="001F7D79">
      <w:pPr>
        <w:jc w:val="both"/>
      </w:pPr>
      <w:r w:rsidRPr="00893E8B">
        <w:t xml:space="preserve">Respecto del requerimiento de identificar los asentamientos ilegales, indicar si los mismos se ubican en zonas rojas, detallar su crecimiento en los últimos cuatro años y explicar la cantidad de clientes regulares, consumos, conexiones irregulares y energía hurtada, corresponde señalar que dicha información fue atendida en la documentación previamente remitida, tanto en el </w:t>
      </w:r>
      <w:r w:rsidRPr="00893E8B">
        <w:rPr>
          <w:b/>
          <w:bCs/>
        </w:rPr>
        <w:t>Informe de Afectaciones Extraordinarias por Pérdidas de Energía en la zona de concesión de ENSA de mayo de 2025</w:t>
      </w:r>
      <w:r w:rsidRPr="00893E8B">
        <w:t xml:space="preserve"> </w:t>
      </w:r>
      <w:r w:rsidR="0024197F" w:rsidRPr="00893E8B">
        <w:t>(</w:t>
      </w:r>
      <w:r w:rsidR="00F8084C" w:rsidRPr="00893E8B">
        <w:t>remitida mediante notaVPER-170-25)</w:t>
      </w:r>
      <w:r w:rsidR="00891FFC" w:rsidRPr="00893E8B">
        <w:t xml:space="preserve"> </w:t>
      </w:r>
      <w:r w:rsidRPr="00893E8B">
        <w:t xml:space="preserve">como en la nota </w:t>
      </w:r>
      <w:r w:rsidRPr="00893E8B">
        <w:rPr>
          <w:b/>
          <w:bCs/>
        </w:rPr>
        <w:t>VI-069-2026</w:t>
      </w:r>
      <w:r w:rsidRPr="00893E8B">
        <w:t xml:space="preserve"> y sus anexos.</w:t>
      </w:r>
    </w:p>
    <w:p w14:paraId="0A5C6786" w14:textId="77777777" w:rsidR="009947CE" w:rsidRPr="00893E8B" w:rsidRDefault="009947CE" w:rsidP="001F7D79">
      <w:pPr>
        <w:jc w:val="both"/>
      </w:pPr>
      <w:r w:rsidRPr="00893E8B">
        <w:t xml:space="preserve">Conforme a la definición desarrollada en la </w:t>
      </w:r>
      <w:r w:rsidRPr="00893E8B">
        <w:rPr>
          <w:b/>
          <w:bCs/>
        </w:rPr>
        <w:t xml:space="preserve">Sección </w:t>
      </w:r>
      <w:proofErr w:type="spellStart"/>
      <w:r w:rsidRPr="00893E8B">
        <w:rPr>
          <w:b/>
          <w:bCs/>
        </w:rPr>
        <w:t>III.b</w:t>
      </w:r>
      <w:proofErr w:type="spellEnd"/>
      <w:r w:rsidRPr="00893E8B">
        <w:rPr>
          <w:b/>
          <w:bCs/>
        </w:rPr>
        <w:t xml:space="preserve"> del Informe 2025</w:t>
      </w:r>
      <w:r w:rsidRPr="00893E8B">
        <w:t xml:space="preserve">, los asentamientos ilegales o invasiones corresponden a ocupaciones informales de terrenos, ya sea en propiedades del Estado o de terceros, respecto de las cuales ENSA no cuenta con respaldo legal para instalar infraestructura formal ni para brindar el servicio eléctrico de manera regular. Por esa razón, estas áreas no forman parte del universo ordinario de clientes regularizados de la empresa y constituyen una tipología distinta a la de los sectores con servicio formal pero </w:t>
      </w:r>
      <w:proofErr w:type="gramStart"/>
      <w:r w:rsidRPr="00893E8B">
        <w:t>alta conflictividad o alta pérdida</w:t>
      </w:r>
      <w:proofErr w:type="gramEnd"/>
      <w:r w:rsidRPr="00893E8B">
        <w:t xml:space="preserve">. El propio informe señala que en estas comunidades no es posible brindar servicio formal, resultando en pérdidas del </w:t>
      </w:r>
      <w:r w:rsidRPr="00893E8B">
        <w:rPr>
          <w:b/>
          <w:bCs/>
        </w:rPr>
        <w:t>100%</w:t>
      </w:r>
      <w:r w:rsidRPr="00893E8B">
        <w:t>.</w:t>
      </w:r>
    </w:p>
    <w:p w14:paraId="15FC400C" w14:textId="77777777" w:rsidR="009947CE" w:rsidRPr="00893E8B" w:rsidRDefault="009947CE" w:rsidP="001F7D79">
      <w:pPr>
        <w:jc w:val="both"/>
      </w:pPr>
      <w:r w:rsidRPr="00893E8B">
        <w:t xml:space="preserve">En este contexto, corresponde hacer una precisión metodológica relevante: las invasiones no incluyen clientes regulares en el sentido comercial y contractual del término. La nota </w:t>
      </w:r>
      <w:r w:rsidRPr="00893E8B">
        <w:rPr>
          <w:b/>
          <w:bCs/>
        </w:rPr>
        <w:t>VI-069-2026</w:t>
      </w:r>
      <w:r w:rsidRPr="00893E8B">
        <w:t xml:space="preserve"> señala expresamente que, para esta tipología, las conexiones irregulares reportadas son equivalentes al número de viviendas estimadas, precisamente porque no existen clientes </w:t>
      </w:r>
      <w:r w:rsidRPr="00893E8B">
        <w:lastRenderedPageBreak/>
        <w:t>regulares formales dentro de dichos polígonos. En consecuencia, estas zonas no se analizan a partir de consumos de clientes facturados, sino a partir de una estimación de viviendas, conexiones ilegales y energía no facturada.</w:t>
      </w:r>
    </w:p>
    <w:p w14:paraId="0931C0F6" w14:textId="11CE8C35" w:rsidR="009947CE" w:rsidRPr="00893E8B" w:rsidRDefault="009947CE" w:rsidP="001F7D79">
      <w:pPr>
        <w:jc w:val="both"/>
      </w:pPr>
      <w:r w:rsidRPr="00893E8B">
        <w:t xml:space="preserve">En cuanto a su identificación y ubicación, ENSA informó que los asentamientos ilegales se describen en la </w:t>
      </w:r>
      <w:r w:rsidRPr="00893E8B">
        <w:rPr>
          <w:b/>
          <w:bCs/>
        </w:rPr>
        <w:t xml:space="preserve">Sección </w:t>
      </w:r>
      <w:proofErr w:type="spellStart"/>
      <w:r w:rsidRPr="00893E8B">
        <w:rPr>
          <w:b/>
          <w:bCs/>
        </w:rPr>
        <w:t>III.b</w:t>
      </w:r>
      <w:proofErr w:type="spellEnd"/>
      <w:r w:rsidRPr="00893E8B">
        <w:rPr>
          <w:b/>
          <w:bCs/>
        </w:rPr>
        <w:t xml:space="preserve"> del Informe 2025</w:t>
      </w:r>
      <w:r w:rsidRPr="00893E8B">
        <w:t xml:space="preserve"> </w:t>
      </w:r>
      <w:r w:rsidR="000C3419" w:rsidRPr="00893E8B">
        <w:t xml:space="preserve"> </w:t>
      </w:r>
      <w:r w:rsidR="00035962" w:rsidRPr="00893E8B">
        <w:t>(</w:t>
      </w:r>
      <w:r w:rsidR="00A06834" w:rsidRPr="00893E8B">
        <w:t>remitida mediante notaVPER-170-25)</w:t>
      </w:r>
      <w:r w:rsidR="003D28A2" w:rsidRPr="00893E8B">
        <w:t xml:space="preserve"> </w:t>
      </w:r>
      <w:r w:rsidRPr="00893E8B">
        <w:t xml:space="preserve">y que su detalle geográfico se complementa con el </w:t>
      </w:r>
      <w:r w:rsidRPr="00893E8B">
        <w:rPr>
          <w:b/>
          <w:bCs/>
        </w:rPr>
        <w:t>Anexo 3 – Catálogo de Asentamientos Informales (Invasiones)</w:t>
      </w:r>
      <w:r w:rsidRPr="00893E8B">
        <w:t xml:space="preserve">, el cual incorpora el mapa interactivo con los polígonos considerados en el estudio. Asimismo, en la nota </w:t>
      </w:r>
      <w:r w:rsidRPr="00893E8B">
        <w:rPr>
          <w:b/>
          <w:bCs/>
        </w:rPr>
        <w:t>VI-069-2026</w:t>
      </w:r>
      <w:r w:rsidRPr="00893E8B">
        <w:t xml:space="preserve"> se indicó que aproximadamente </w:t>
      </w:r>
      <w:r w:rsidRPr="00893E8B">
        <w:rPr>
          <w:b/>
          <w:bCs/>
        </w:rPr>
        <w:t>15% de las invasiones</w:t>
      </w:r>
      <w:r w:rsidRPr="00893E8B">
        <w:t xml:space="preserve"> presenta superposición con zonas rojas, particularmente en áreas de Panamá Este y Colón, lo que demuestra que ambas categorías no son equivalentes, aunque en ciertos casos sí concurren territorialmente.</w:t>
      </w:r>
    </w:p>
    <w:p w14:paraId="54C46479" w14:textId="2ADB5F19" w:rsidR="009947CE" w:rsidRPr="00893E8B" w:rsidRDefault="009947CE" w:rsidP="001F7D79">
      <w:pPr>
        <w:jc w:val="both"/>
      </w:pPr>
      <w:r w:rsidRPr="00893E8B">
        <w:t xml:space="preserve">En lo relativo al crecimiento de estos asentamientos, ENSA reportó un incremento aproximado de </w:t>
      </w:r>
      <w:r w:rsidRPr="00893E8B">
        <w:rPr>
          <w:b/>
          <w:bCs/>
        </w:rPr>
        <w:t>15% en viviendas estimadas entre 2021 y abril de 2024</w:t>
      </w:r>
      <w:r w:rsidRPr="00893E8B">
        <w:t xml:space="preserve">, al pasar de </w:t>
      </w:r>
      <w:r w:rsidRPr="00893E8B">
        <w:rPr>
          <w:b/>
          <w:bCs/>
        </w:rPr>
        <w:t>6,275 a 7,226 viviendas</w:t>
      </w:r>
      <w:r w:rsidRPr="00893E8B">
        <w:t xml:space="preserve">, información también consignada en la nota </w:t>
      </w:r>
      <w:r w:rsidRPr="00893E8B">
        <w:rPr>
          <w:b/>
          <w:bCs/>
        </w:rPr>
        <w:t>VI-069-2026</w:t>
      </w:r>
      <w:r w:rsidRPr="00893E8B">
        <w:t xml:space="preserve">. Adicionalmente, el informe incorpora evidencia gráfica del crecimiento de invasiones específicas, como el caso de Fundación Coral en </w:t>
      </w:r>
      <w:proofErr w:type="spellStart"/>
      <w:r w:rsidRPr="00893E8B">
        <w:t>Chichebre</w:t>
      </w:r>
      <w:proofErr w:type="spellEnd"/>
      <w:r w:rsidR="00332ED0" w:rsidRPr="00893E8B">
        <w:t xml:space="preserve"> (</w:t>
      </w:r>
      <w:r w:rsidR="00995279" w:rsidRPr="00893E8B">
        <w:t>distrito</w:t>
      </w:r>
      <w:r w:rsidR="00A05BB0" w:rsidRPr="00893E8B">
        <w:t xml:space="preserve"> de </w:t>
      </w:r>
      <w:r w:rsidR="008A7440" w:rsidRPr="00893E8B">
        <w:t>Chep</w:t>
      </w:r>
      <w:r w:rsidR="00F32C2E" w:rsidRPr="00893E8B">
        <w:t xml:space="preserve">o en </w:t>
      </w:r>
      <w:r w:rsidR="005D186C" w:rsidRPr="00893E8B">
        <w:t>Panam</w:t>
      </w:r>
      <w:r w:rsidR="00F4409E" w:rsidRPr="00893E8B">
        <w:t xml:space="preserve">á </w:t>
      </w:r>
      <w:r w:rsidR="00834290" w:rsidRPr="00893E8B">
        <w:t>Est</w:t>
      </w:r>
      <w:r w:rsidR="00C903F7" w:rsidRPr="00893E8B">
        <w:t>e</w:t>
      </w:r>
      <w:r w:rsidR="00B15040" w:rsidRPr="00893E8B">
        <w:t>)</w:t>
      </w:r>
      <w:r w:rsidR="00C903F7" w:rsidRPr="00893E8B">
        <w:t xml:space="preserve">. </w:t>
      </w:r>
    </w:p>
    <w:p w14:paraId="0D4F5E43" w14:textId="7BA76CB1" w:rsidR="009947CE" w:rsidRPr="00893E8B" w:rsidRDefault="009947CE" w:rsidP="001F7D79">
      <w:pPr>
        <w:jc w:val="both"/>
      </w:pPr>
      <w:r w:rsidRPr="00893E8B">
        <w:t xml:space="preserve">Ahora bien, respecto del sustento técnico de la energía asociada a estas invasiones, es importante aclarar que no existe </w:t>
      </w:r>
      <w:proofErr w:type="spellStart"/>
      <w:r w:rsidRPr="00893E8B">
        <w:t>macromedición</w:t>
      </w:r>
      <w:proofErr w:type="spellEnd"/>
      <w:r w:rsidRPr="00893E8B">
        <w:t xml:space="preserve"> en la mayoría de los asentamientos ilegales. Por tanto, la cuantificación de la afectación no se realiza a partir de una lectura directa y exhaustiva de cada invasión, sino mediante una metodología de estimación por extrapolación. El informe explica que el estudio utiliza la información proveniente de transformadores o totalizadores con resultados confiables, y que dicho comportamiento es extrapolado, mediante porcentajes de pérdidas, a otros transformadores no totalizados de la misma región. Asimismo, se señala expresamente que el uso de</w:t>
      </w:r>
      <w:r w:rsidR="00DB604D" w:rsidRPr="00893E8B">
        <w:t xml:space="preserve"> la herr</w:t>
      </w:r>
      <w:r w:rsidR="00992DE0" w:rsidRPr="00893E8B">
        <w:t>ami</w:t>
      </w:r>
      <w:r w:rsidR="000A0C81" w:rsidRPr="00893E8B">
        <w:t>enta</w:t>
      </w:r>
      <w:r w:rsidRPr="00893E8B">
        <w:t xml:space="preserve"> </w:t>
      </w:r>
      <w:proofErr w:type="spellStart"/>
      <w:r w:rsidRPr="00893E8B">
        <w:rPr>
          <w:b/>
          <w:bCs/>
        </w:rPr>
        <w:t>OpenBuildings</w:t>
      </w:r>
      <w:proofErr w:type="spellEnd"/>
      <w:r w:rsidRPr="00893E8B">
        <w:t xml:space="preserve"> permitió mejorar la estimación de la cantidad de viviendas dentro de los polígonos de invasión identificados.</w:t>
      </w:r>
    </w:p>
    <w:p w14:paraId="38DFDDD2" w14:textId="77777777" w:rsidR="009947CE" w:rsidRPr="00893E8B" w:rsidRDefault="009947CE" w:rsidP="001F7D79">
      <w:pPr>
        <w:jc w:val="both"/>
      </w:pPr>
      <w:r w:rsidRPr="00893E8B">
        <w:t xml:space="preserve">En términos prácticos, la metodología aplicada consiste en tomar las invasiones o sectores donde sí existe información </w:t>
      </w:r>
      <w:proofErr w:type="spellStart"/>
      <w:r w:rsidRPr="00893E8B">
        <w:t>macromedida</w:t>
      </w:r>
      <w:proofErr w:type="spellEnd"/>
      <w:r w:rsidRPr="00893E8B">
        <w:t xml:space="preserve"> o totalizada, determinar a partir de ellas una densidad energética de referencia asociada a la vivienda asentada —utilizando para ello la superficie edificada o el número de viviendas identificadas dentro del polígono— e inferir luego ese comportamiento al resto de las invasiones no medidas. De esta manera, no se pretende afirmar una medición puntual de cada asentamiento, sino establecer un orden de magnitud técnicamente razonable de la energía involucrada y, por ende, de la afectación extraordinaria atribuible a esta tipología. Esta lógica es consistente con el propio enfoque del estudio, que reconoce el uso de </w:t>
      </w:r>
      <w:proofErr w:type="spellStart"/>
      <w:r w:rsidRPr="00893E8B">
        <w:t>macromedición</w:t>
      </w:r>
      <w:proofErr w:type="spellEnd"/>
      <w:r w:rsidRPr="00893E8B">
        <w:t xml:space="preserve"> y extrapolación como base metodológica.</w:t>
      </w:r>
    </w:p>
    <w:p w14:paraId="7F4DA4F1" w14:textId="77777777" w:rsidR="009947CE" w:rsidRPr="00893E8B" w:rsidRDefault="009947CE" w:rsidP="001F7D79">
      <w:pPr>
        <w:jc w:val="both"/>
      </w:pPr>
      <w:r w:rsidRPr="00893E8B">
        <w:t xml:space="preserve">En complemento de lo anterior, la nota </w:t>
      </w:r>
      <w:r w:rsidRPr="00893E8B">
        <w:rPr>
          <w:b/>
          <w:bCs/>
        </w:rPr>
        <w:t>VI-069-2026</w:t>
      </w:r>
      <w:r w:rsidRPr="00893E8B">
        <w:t xml:space="preserve"> indicó que el archivo </w:t>
      </w:r>
      <w:r w:rsidRPr="00893E8B">
        <w:rPr>
          <w:b/>
          <w:bCs/>
        </w:rPr>
        <w:t>“20260127 Datos Pérdidas Extraordinarias.xlsx”</w:t>
      </w:r>
      <w:r w:rsidRPr="00893E8B">
        <w:t xml:space="preserve">, hoja </w:t>
      </w:r>
      <w:r w:rsidRPr="00893E8B">
        <w:rPr>
          <w:b/>
          <w:bCs/>
        </w:rPr>
        <w:t>“Invasiones”</w:t>
      </w:r>
      <w:r w:rsidRPr="00893E8B">
        <w:t xml:space="preserve">, presenta la desagregación por polígono, listando </w:t>
      </w:r>
      <w:r w:rsidRPr="00893E8B">
        <w:rPr>
          <w:b/>
          <w:bCs/>
        </w:rPr>
        <w:t>67 invasiones</w:t>
      </w:r>
      <w:r w:rsidRPr="00893E8B">
        <w:t xml:space="preserve">, con sus métricas principales de viviendas estimadas, metros cuadrados de edificación, pérdidas estimadas y conexiones irregulares reportadas, totalizando </w:t>
      </w:r>
      <w:r w:rsidRPr="00893E8B">
        <w:rPr>
          <w:b/>
          <w:bCs/>
        </w:rPr>
        <w:t xml:space="preserve">7,226 viviendas y 37,972 </w:t>
      </w:r>
      <w:proofErr w:type="spellStart"/>
      <w:r w:rsidRPr="00893E8B">
        <w:rPr>
          <w:b/>
          <w:bCs/>
        </w:rPr>
        <w:t>MWh</w:t>
      </w:r>
      <w:proofErr w:type="spellEnd"/>
      <w:r w:rsidRPr="00893E8B">
        <w:rPr>
          <w:b/>
          <w:bCs/>
        </w:rPr>
        <w:t xml:space="preserve"> anuales de pérdidas estimadas</w:t>
      </w:r>
      <w:r w:rsidRPr="00893E8B">
        <w:t xml:space="preserve">. En consecuencia, el valor presentado no debe interpretarse como el resultado de una </w:t>
      </w:r>
      <w:proofErr w:type="spellStart"/>
      <w:r w:rsidRPr="00893E8B">
        <w:t>macromedición</w:t>
      </w:r>
      <w:proofErr w:type="spellEnd"/>
      <w:r w:rsidRPr="00893E8B">
        <w:t xml:space="preserve"> individual para cada invasión, sino como el resultado de una estimación </w:t>
      </w:r>
      <w:r w:rsidRPr="00893E8B">
        <w:lastRenderedPageBreak/>
        <w:t xml:space="preserve">sustentada en combinaciones de </w:t>
      </w:r>
      <w:proofErr w:type="spellStart"/>
      <w:r w:rsidRPr="00893E8B">
        <w:t>macromedición</w:t>
      </w:r>
      <w:proofErr w:type="spellEnd"/>
      <w:r w:rsidRPr="00893E8B">
        <w:t xml:space="preserve"> disponible, extrapolación regional y análisis satelital/geoespacial.</w:t>
      </w:r>
    </w:p>
    <w:p w14:paraId="60BDA1B7" w14:textId="77777777" w:rsidR="009947CE" w:rsidRPr="00893E8B" w:rsidRDefault="009947CE" w:rsidP="001F7D79">
      <w:pPr>
        <w:jc w:val="both"/>
      </w:pPr>
      <w:r w:rsidRPr="00893E8B">
        <w:t xml:space="preserve">En síntesis, la información solicitada fue presentada, pero su naturaleza metodológica responde a la realidad física y operativa de los asentamientos ilegales: al no existir en la mayoría de ellos clientes regulares ni medición individual, y tampoco </w:t>
      </w:r>
      <w:proofErr w:type="spellStart"/>
      <w:r w:rsidRPr="00893E8B">
        <w:t>macromedición</w:t>
      </w:r>
      <w:proofErr w:type="spellEnd"/>
      <w:r w:rsidRPr="00893E8B">
        <w:t xml:space="preserve"> completa en todos los casos, ENSA recurrió a una metodología de estimación basada en evidencia disponible y extrapolación técnica. Así, la energía hurtada o no facturada atribuida a invasiones debe entenderse como una estimación razonable del orden de magnitud de la afectación, y no como una medición directa y exhaustiva de cada polígono de invasión.</w:t>
      </w:r>
    </w:p>
    <w:p w14:paraId="65F1E689" w14:textId="77777777" w:rsidR="009947CE" w:rsidRPr="00893E8B" w:rsidRDefault="009947CE" w:rsidP="001F7D79">
      <w:pPr>
        <w:pStyle w:val="Ttulo2"/>
      </w:pPr>
      <w:r w:rsidRPr="00893E8B">
        <w:t>3. Zonas con pérdidas altas</w:t>
      </w:r>
    </w:p>
    <w:p w14:paraId="0C25F5AE" w14:textId="0D3178F5" w:rsidR="009947CE" w:rsidRPr="00893E8B" w:rsidRDefault="009947CE" w:rsidP="001F7D79">
      <w:pPr>
        <w:jc w:val="both"/>
      </w:pPr>
      <w:r w:rsidRPr="00893E8B">
        <w:t xml:space="preserve">Respecto del requerimiento de identificar las zonas con pérdidas altas, indicar si estas se ubican en zonas rojas y explicar la cantidad de clientes regulares, sus consumos, la estimación de conexiones irregulares y de la energía hurtada, corresponde señalar que esta información fue desarrollada en la documentación previamente remitida, principalmente en la </w:t>
      </w:r>
      <w:r w:rsidRPr="00893E8B">
        <w:rPr>
          <w:b/>
          <w:bCs/>
        </w:rPr>
        <w:t xml:space="preserve">Sección </w:t>
      </w:r>
      <w:proofErr w:type="spellStart"/>
      <w:r w:rsidRPr="00893E8B">
        <w:rPr>
          <w:b/>
          <w:bCs/>
        </w:rPr>
        <w:t>III.a</w:t>
      </w:r>
      <w:proofErr w:type="spellEnd"/>
      <w:r w:rsidRPr="00893E8B">
        <w:rPr>
          <w:b/>
          <w:bCs/>
        </w:rPr>
        <w:t xml:space="preserve"> del Informe de Afectaciones Extraordinarias por Pérdidas de Energía en la zona de concesión de ENSA de mayo de 2025</w:t>
      </w:r>
      <w:r w:rsidR="00001925" w:rsidRPr="00893E8B">
        <w:rPr>
          <w:b/>
          <w:bCs/>
        </w:rPr>
        <w:t xml:space="preserve"> </w:t>
      </w:r>
      <w:r w:rsidR="00661F90" w:rsidRPr="00893E8B">
        <w:t>(</w:t>
      </w:r>
      <w:r w:rsidR="00281974" w:rsidRPr="00893E8B">
        <w:t>remitida mediante notaVPER-170-25</w:t>
      </w:r>
      <w:r w:rsidR="00661F90" w:rsidRPr="00893E8B">
        <w:t>)</w:t>
      </w:r>
      <w:r w:rsidRPr="00893E8B">
        <w:t xml:space="preserve">, así como en la nota </w:t>
      </w:r>
      <w:r w:rsidRPr="00893E8B">
        <w:rPr>
          <w:b/>
          <w:bCs/>
        </w:rPr>
        <w:t>VI-069-2026</w:t>
      </w:r>
      <w:r w:rsidRPr="00893E8B">
        <w:t xml:space="preserve"> y en el archivo complementario </w:t>
      </w:r>
      <w:r w:rsidRPr="00893E8B">
        <w:rPr>
          <w:b/>
          <w:bCs/>
        </w:rPr>
        <w:t>“20260127 Datos Pérdidas Extraordinarias.xlsx”, hoja “ALTAS PERDIDAS”</w:t>
      </w:r>
      <w:r w:rsidRPr="00893E8B">
        <w:t>.</w:t>
      </w:r>
    </w:p>
    <w:p w14:paraId="274EDADF" w14:textId="77777777" w:rsidR="009947CE" w:rsidRPr="00893E8B" w:rsidRDefault="009947CE" w:rsidP="001F7D79">
      <w:pPr>
        <w:jc w:val="both"/>
      </w:pPr>
      <w:r w:rsidRPr="00893E8B">
        <w:t xml:space="preserve">Según la definición contenida en el Informe 2025, las zonas de alta pérdida corresponden a barrios o sectores con niveles de pérdidas superiores al </w:t>
      </w:r>
      <w:r w:rsidRPr="00893E8B">
        <w:rPr>
          <w:b/>
          <w:bCs/>
        </w:rPr>
        <w:t>20%</w:t>
      </w:r>
      <w:r w:rsidRPr="00893E8B">
        <w:t>, caracterizados por condiciones geográficas, sociales y culturales particulares que favorecen una elevada propensión al hurto de energía. A diferencia de las denominadas zonas rojas, estas comunidades no necesariamente presentan altos niveles de peligrosidad para la atención operativa, pero sí una marcada cultura de informalidad e ilegalidad frente al servicio eléctrico. El informe agrega que en estas zonas es frecuente la manipulación de acometidas, las conexiones directas no autorizadas y las reconexiones ilegales posteriores al corte, lo que limita la efectividad de las acciones de control.</w:t>
      </w:r>
    </w:p>
    <w:p w14:paraId="172F5B81" w14:textId="77777777" w:rsidR="009947CE" w:rsidRPr="00893E8B" w:rsidRDefault="009947CE" w:rsidP="001F7D79">
      <w:pPr>
        <w:jc w:val="both"/>
      </w:pPr>
      <w:r w:rsidRPr="00893E8B">
        <w:t xml:space="preserve">Desde el punto de vista territorial, ENSA ya aclaró en la nota </w:t>
      </w:r>
      <w:r w:rsidRPr="00893E8B">
        <w:rPr>
          <w:b/>
          <w:bCs/>
        </w:rPr>
        <w:t>VI-069-2026</w:t>
      </w:r>
      <w:r w:rsidRPr="00893E8B">
        <w:t xml:space="preserve"> que las zonas de alta pérdida no presentan una superposición mayoritaria con zonas rojas, y que solo aproximadamente el </w:t>
      </w:r>
      <w:r w:rsidRPr="00893E8B">
        <w:rPr>
          <w:b/>
          <w:bCs/>
        </w:rPr>
        <w:t>10% coincide</w:t>
      </w:r>
      <w:r w:rsidRPr="00893E8B">
        <w:t xml:space="preserve"> con ellas; de hecho, en la base complementaria remitida, la columna </w:t>
      </w:r>
      <w:r w:rsidRPr="00893E8B">
        <w:rPr>
          <w:b/>
          <w:bCs/>
        </w:rPr>
        <w:t>“CLASIFICACION AJUSTADA”</w:t>
      </w:r>
      <w:r w:rsidRPr="00893E8B">
        <w:t xml:space="preserve"> de la hoja </w:t>
      </w:r>
      <w:r w:rsidRPr="00893E8B">
        <w:rPr>
          <w:b/>
          <w:bCs/>
        </w:rPr>
        <w:t>“ALTAS PERDIDAS”</w:t>
      </w:r>
      <w:r w:rsidRPr="00893E8B">
        <w:t xml:space="preserve"> indica “NO” en la mayoría de los casos. Por lo tanto, ambas categorías no deben ser tratadas como equivalentes: una zona de alta pérdida puede compartir rasgos de ilegalidad e informalidad con una zona roja, pero su clasificación responde principalmente a su patrón de pérdidas y no necesariamente a restricciones severas de seguridad.</w:t>
      </w:r>
    </w:p>
    <w:p w14:paraId="0ED62A13" w14:textId="77777777" w:rsidR="009947CE" w:rsidRPr="00893E8B" w:rsidRDefault="009947CE" w:rsidP="001F7D79">
      <w:pPr>
        <w:jc w:val="both"/>
      </w:pPr>
      <w:r w:rsidRPr="00893E8B">
        <w:t xml:space="preserve">En cuanto a su composición y magnitud, el Informe 2025 señala que este conjunto de barrios representa aproximadamente el </w:t>
      </w:r>
      <w:r w:rsidRPr="00893E8B">
        <w:rPr>
          <w:b/>
          <w:bCs/>
        </w:rPr>
        <w:t>4% del total de clientes de ENSA</w:t>
      </w:r>
      <w:r w:rsidRPr="00893E8B">
        <w:t xml:space="preserve"> y concentra cerca del </w:t>
      </w:r>
      <w:r w:rsidRPr="00893E8B">
        <w:rPr>
          <w:b/>
          <w:bCs/>
        </w:rPr>
        <w:t>18% de las pérdidas globales de la empresa</w:t>
      </w:r>
      <w:r w:rsidRPr="00893E8B">
        <w:t xml:space="preserve">, estimándose que en dichos sectores se pierde alrededor del </w:t>
      </w:r>
      <w:r w:rsidRPr="00893E8B">
        <w:rPr>
          <w:b/>
          <w:bCs/>
        </w:rPr>
        <w:t>30% de la energía que ingresa</w:t>
      </w:r>
      <w:r w:rsidRPr="00893E8B">
        <w:t xml:space="preserve">. En la Tabla 4 del mismo informe se cuantifica esta categoría en </w:t>
      </w:r>
      <w:r w:rsidRPr="00893E8B">
        <w:rPr>
          <w:b/>
          <w:bCs/>
        </w:rPr>
        <w:t>3.8% de los clientes, 4.0% de la energía de entrada y 17.7% de las pérdidas no técnicas totales, con un índice de pérdidas del 30%</w:t>
      </w:r>
      <w:r w:rsidRPr="00893E8B">
        <w:t xml:space="preserve">. La nota </w:t>
      </w:r>
      <w:r w:rsidRPr="00893E8B">
        <w:rPr>
          <w:b/>
          <w:bCs/>
        </w:rPr>
        <w:t>VI-069-2026</w:t>
      </w:r>
      <w:r w:rsidRPr="00893E8B">
        <w:t xml:space="preserve"> </w:t>
      </w:r>
      <w:r w:rsidRPr="00893E8B">
        <w:lastRenderedPageBreak/>
        <w:t xml:space="preserve">complementa esa caracterización con valores absolutos, indicando que estas zonas representan aproximadamente </w:t>
      </w:r>
      <w:r w:rsidRPr="00893E8B">
        <w:rPr>
          <w:b/>
          <w:bCs/>
        </w:rPr>
        <w:t>21,000 clientes regulares</w:t>
      </w:r>
      <w:r w:rsidRPr="00893E8B">
        <w:t xml:space="preserve"> y alrededor de </w:t>
      </w:r>
      <w:r w:rsidRPr="00893E8B">
        <w:rPr>
          <w:b/>
          <w:bCs/>
        </w:rPr>
        <w:t xml:space="preserve">15,889 </w:t>
      </w:r>
      <w:proofErr w:type="spellStart"/>
      <w:r w:rsidRPr="00893E8B">
        <w:rPr>
          <w:b/>
          <w:bCs/>
        </w:rPr>
        <w:t>MWh</w:t>
      </w:r>
      <w:proofErr w:type="spellEnd"/>
      <w:r w:rsidRPr="00893E8B">
        <w:rPr>
          <w:b/>
          <w:bCs/>
        </w:rPr>
        <w:t xml:space="preserve"> mensuales promedio en 2024</w:t>
      </w:r>
      <w:r w:rsidRPr="00893E8B">
        <w:t xml:space="preserve">, equivalentes al </w:t>
      </w:r>
      <w:r w:rsidRPr="00893E8B">
        <w:rPr>
          <w:b/>
          <w:bCs/>
        </w:rPr>
        <w:t>4% de la energía distribuida</w:t>
      </w:r>
      <w:r w:rsidRPr="00893E8B">
        <w:t xml:space="preserve">, concentrando aproximadamente el </w:t>
      </w:r>
      <w:r w:rsidRPr="00893E8B">
        <w:rPr>
          <w:b/>
          <w:bCs/>
        </w:rPr>
        <w:t>18% de las pérdidas no técnicas</w:t>
      </w:r>
      <w:r w:rsidRPr="00893E8B">
        <w:t xml:space="preserve">. Adicionalmente, en la Tabla 5 del Informe 2025 se detalla que los barrios de altas pérdidas (&gt;20%) presentan una energía distribuida de </w:t>
      </w:r>
      <w:r w:rsidRPr="00893E8B">
        <w:rPr>
          <w:b/>
          <w:bCs/>
        </w:rPr>
        <w:t xml:space="preserve">15,889 </w:t>
      </w:r>
      <w:proofErr w:type="spellStart"/>
      <w:r w:rsidRPr="00893E8B">
        <w:rPr>
          <w:b/>
          <w:bCs/>
        </w:rPr>
        <w:t>MWh</w:t>
      </w:r>
      <w:proofErr w:type="spellEnd"/>
      <w:r w:rsidRPr="00893E8B">
        <w:rPr>
          <w:b/>
          <w:bCs/>
        </w:rPr>
        <w:t>/mes</w:t>
      </w:r>
      <w:r w:rsidRPr="00893E8B">
        <w:t xml:space="preserve">, pérdidas totales de </w:t>
      </w:r>
      <w:r w:rsidRPr="00893E8B">
        <w:rPr>
          <w:b/>
          <w:bCs/>
        </w:rPr>
        <w:t xml:space="preserve">4,789 </w:t>
      </w:r>
      <w:proofErr w:type="spellStart"/>
      <w:r w:rsidRPr="00893E8B">
        <w:rPr>
          <w:b/>
          <w:bCs/>
        </w:rPr>
        <w:t>MWh</w:t>
      </w:r>
      <w:proofErr w:type="spellEnd"/>
      <w:r w:rsidRPr="00893E8B">
        <w:rPr>
          <w:b/>
          <w:bCs/>
        </w:rPr>
        <w:t>/mes</w:t>
      </w:r>
      <w:r w:rsidRPr="00893E8B">
        <w:t xml:space="preserve"> y un porcentaje de pérdidas de </w:t>
      </w:r>
      <w:r w:rsidRPr="00893E8B">
        <w:rPr>
          <w:b/>
          <w:bCs/>
        </w:rPr>
        <w:t>30.1%</w:t>
      </w:r>
      <w:r w:rsidRPr="00893E8B">
        <w:t>.</w:t>
      </w:r>
    </w:p>
    <w:p w14:paraId="4918D5F2" w14:textId="77777777" w:rsidR="009947CE" w:rsidRPr="00893E8B" w:rsidRDefault="009947CE" w:rsidP="001F7D79">
      <w:pPr>
        <w:jc w:val="both"/>
      </w:pPr>
      <w:r w:rsidRPr="00893E8B">
        <w:t xml:space="preserve">En cuanto a la naturaleza de estas zonas, el Informe 2025 distingue dos grandes subgrupos. Por un lado, zonas dispersas o muy dispersas, que explican </w:t>
      </w:r>
      <w:r w:rsidRPr="00893E8B">
        <w:rPr>
          <w:b/>
          <w:bCs/>
        </w:rPr>
        <w:t>48.1% de las pérdidas</w:t>
      </w:r>
      <w:r w:rsidRPr="00893E8B">
        <w:t xml:space="preserve"> dentro de esta categoría y que se ubican en áreas remotas como Costa Arriba y Costa Abajo de Colón, sistemas eléctricos aislados y zonas limítrofes entre Panamá, Colón y Darién; el informe resalta que en esas áreas apenas habita cerca del </w:t>
      </w:r>
      <w:r w:rsidRPr="00893E8B">
        <w:rPr>
          <w:b/>
          <w:bCs/>
        </w:rPr>
        <w:t>2% de los clientes</w:t>
      </w:r>
      <w:r w:rsidRPr="00893E8B">
        <w:t xml:space="preserve">, pero la lejanía y dificultad de acceso reducen la frecuencia de supervisión y facilitan el hurto de energía. Por otro lado, se identifican los llamados barrios dormitorio, que explican </w:t>
      </w:r>
      <w:r w:rsidRPr="00893E8B">
        <w:rPr>
          <w:b/>
          <w:bCs/>
        </w:rPr>
        <w:t>51.9% de las pérdidas</w:t>
      </w:r>
      <w:r w:rsidRPr="00893E8B">
        <w:t xml:space="preserve"> dentro de esta tipología y se ubican en áreas periféricas de la ciudad de Panamá, caracterizadas por alta informalidad, construcciones precarias y una mayor rotación de ocupantes.</w:t>
      </w:r>
    </w:p>
    <w:p w14:paraId="58D483D9" w14:textId="77777777" w:rsidR="009947CE" w:rsidRPr="00893E8B" w:rsidRDefault="009947CE" w:rsidP="001F7D79">
      <w:pPr>
        <w:jc w:val="both"/>
      </w:pPr>
      <w:r w:rsidRPr="00893E8B">
        <w:t xml:space="preserve">Respecto de la cantidad de clientes regulares y sus consumos, a diferencia de las invasiones, en las zonas de alta pérdida sí existe base comercial y sí hay clientes formalmente vinculados al sistema. Por ello, el análisis sí incorpora clientes regulares y energía facturada. ENSA indicó en la nota </w:t>
      </w:r>
      <w:r w:rsidRPr="00893E8B">
        <w:rPr>
          <w:b/>
          <w:bCs/>
        </w:rPr>
        <w:t>VI-069-2026</w:t>
      </w:r>
      <w:r w:rsidRPr="00893E8B">
        <w:t xml:space="preserve"> que la hoja </w:t>
      </w:r>
      <w:r w:rsidRPr="00893E8B">
        <w:rPr>
          <w:b/>
          <w:bCs/>
        </w:rPr>
        <w:t>“ALTAS PERDIDAS”</w:t>
      </w:r>
      <w:r w:rsidRPr="00893E8B">
        <w:t xml:space="preserve"> del archivo complementario contiene el detalle por barrio, incluyendo clientes regulares, energía de entrada, pérdidas, porcentaje de pérdidas no técnicas y estimación de conexiones irregulares, a partir de columnas como </w:t>
      </w:r>
      <w:r w:rsidRPr="00893E8B">
        <w:rPr>
          <w:b/>
          <w:bCs/>
        </w:rPr>
        <w:t>E_ENTRADA, E_PERD, %PERDNOTEC e ILEGALES REPORTADOS</w:t>
      </w:r>
      <w:r w:rsidRPr="00893E8B">
        <w:t>.</w:t>
      </w:r>
    </w:p>
    <w:p w14:paraId="6BD2FAFD" w14:textId="77777777" w:rsidR="009947CE" w:rsidRPr="00893E8B" w:rsidRDefault="009947CE" w:rsidP="001F7D79">
      <w:pPr>
        <w:jc w:val="both"/>
      </w:pPr>
      <w:r w:rsidRPr="00893E8B">
        <w:t xml:space="preserve">Ahora bien, en cuanto al sustento técnico de la energía hurtada y de las conexiones irregulares, es importante precisar que la metodología del estudio no supone </w:t>
      </w:r>
      <w:proofErr w:type="spellStart"/>
      <w:r w:rsidRPr="00893E8B">
        <w:t>macromedición</w:t>
      </w:r>
      <w:proofErr w:type="spellEnd"/>
      <w:r w:rsidRPr="00893E8B">
        <w:t xml:space="preserve"> exhaustiva e individual para cada transformador o cada barrio, sino un enfoque de medición y extrapolación. El Informe 2025 señala expresamente que se utilizan totalizadores para medir la energía perdida en registros con resultados confiables y que dichos resultados son luego extrapolados, mediante porcentajes de pérdidas, a otros transformadores no totalizados de la misma región. En otras palabras, la metodología parte de sectores o transformadores con información confiable y, a partir del comportamiento observado en esos puntos, infiere el comportamiento del resto de la zona donde no existe totalización completa.</w:t>
      </w:r>
    </w:p>
    <w:p w14:paraId="17F3AFFA" w14:textId="77777777" w:rsidR="009947CE" w:rsidRPr="00893E8B" w:rsidRDefault="009947CE" w:rsidP="001F7D79">
      <w:pPr>
        <w:jc w:val="both"/>
      </w:pPr>
      <w:r w:rsidRPr="00893E8B">
        <w:t xml:space="preserve">Bajo esta lógica, la energía hurtada en zonas de alta pérdida se determina a partir del balance entre la energía de entrada y la energía facturada o registrada en los sectores analizados, complementado con procesos de normalización y extrapolación regional. Por ello, cuando la nota </w:t>
      </w:r>
      <w:r w:rsidRPr="00893E8B">
        <w:rPr>
          <w:b/>
          <w:bCs/>
        </w:rPr>
        <w:t>VI-069-2026</w:t>
      </w:r>
      <w:r w:rsidRPr="00893E8B">
        <w:t xml:space="preserve"> señala que la hoja </w:t>
      </w:r>
      <w:r w:rsidRPr="00893E8B">
        <w:rPr>
          <w:b/>
          <w:bCs/>
        </w:rPr>
        <w:t>“ALTAS PERDIDAS”</w:t>
      </w:r>
      <w:r w:rsidRPr="00893E8B">
        <w:t xml:space="preserve"> está respaldada por bases comerciales, </w:t>
      </w:r>
      <w:proofErr w:type="spellStart"/>
      <w:r w:rsidRPr="00893E8B">
        <w:t>macromedición</w:t>
      </w:r>
      <w:proofErr w:type="spellEnd"/>
      <w:r w:rsidRPr="00893E8B">
        <w:t xml:space="preserve"> y normalización, ello debe entenderse precisamente en ese sentido: existe una combinación de información comercial, registros medidos en puntos confiables y una inferencia técnica hacia los segmentos no totalizados de la misma región.</w:t>
      </w:r>
    </w:p>
    <w:p w14:paraId="7AB2CB3B" w14:textId="77777777" w:rsidR="009947CE" w:rsidRPr="00893E8B" w:rsidRDefault="009947CE" w:rsidP="001F7D79">
      <w:pPr>
        <w:jc w:val="both"/>
      </w:pPr>
      <w:r w:rsidRPr="00893E8B">
        <w:t>En síntesis, la información remitida distingue adecuadamente entre: (i) la caracterización cualitativa y territorial de las zonas de alta pérdida; (</w:t>
      </w:r>
      <w:proofErr w:type="spellStart"/>
      <w:r w:rsidRPr="00893E8B">
        <w:t>ii</w:t>
      </w:r>
      <w:proofErr w:type="spellEnd"/>
      <w:r w:rsidRPr="00893E8B">
        <w:t xml:space="preserve">) la identificación de su eventual </w:t>
      </w:r>
      <w:r w:rsidRPr="00893E8B">
        <w:lastRenderedPageBreak/>
        <w:t>superposición con zonas rojas; (</w:t>
      </w:r>
      <w:proofErr w:type="spellStart"/>
      <w:r w:rsidRPr="00893E8B">
        <w:t>iii</w:t>
      </w:r>
      <w:proofErr w:type="spellEnd"/>
      <w:r w:rsidRPr="00893E8B">
        <w:t>) la cantidad de clientes regulares y la energía asociada; y (</w:t>
      </w:r>
      <w:proofErr w:type="spellStart"/>
      <w:r w:rsidRPr="00893E8B">
        <w:t>iv</w:t>
      </w:r>
      <w:proofErr w:type="spellEnd"/>
      <w:r w:rsidRPr="00893E8B">
        <w:t xml:space="preserve">) la estimación de pérdidas y conexiones irregulares con base en una metodología sustentada en totalizadores, bases comerciales y extrapolación regional. En consecuencia, el valor presentado para estas zonas debe entenderse como una estimación técnicamente razonable y consistente con la metodología del estudio, y no como el resultado de </w:t>
      </w:r>
      <w:proofErr w:type="spellStart"/>
      <w:r w:rsidRPr="00893E8B">
        <w:t>macromedición</w:t>
      </w:r>
      <w:proofErr w:type="spellEnd"/>
      <w:r w:rsidRPr="00893E8B">
        <w:t xml:space="preserve"> directa y completa para cada transformador individual dentro de todos los barrios clasificados en esta categoría.</w:t>
      </w:r>
    </w:p>
    <w:p w14:paraId="382B863A" w14:textId="77777777" w:rsidR="009947CE" w:rsidRPr="00893E8B" w:rsidRDefault="009947CE" w:rsidP="001F7D79">
      <w:pPr>
        <w:pStyle w:val="Ttulo2"/>
      </w:pPr>
      <w:r w:rsidRPr="00893E8B">
        <w:t>4. Acciones realizadas durante los últimos cuatro años</w:t>
      </w:r>
    </w:p>
    <w:p w14:paraId="78C93935" w14:textId="40474B75" w:rsidR="009947CE" w:rsidRPr="00893E8B" w:rsidRDefault="009947CE" w:rsidP="001F7D79">
      <w:pPr>
        <w:jc w:val="both"/>
      </w:pPr>
      <w:r w:rsidRPr="00893E8B">
        <w:t xml:space="preserve">Respecto del requerimiento de detallar las acciones realizadas durante los últimos cuatro años para la reducción de pérdidas, incluyendo inversiones, gastos operativos y resultados obtenidos, corresponde señalar que esta información fue desarrollada de manera integral en la documentación previamente remitida, particularmente en la </w:t>
      </w:r>
      <w:r w:rsidRPr="00893E8B">
        <w:rPr>
          <w:b/>
          <w:bCs/>
        </w:rPr>
        <w:t xml:space="preserve">Sección </w:t>
      </w:r>
      <w:proofErr w:type="spellStart"/>
      <w:r w:rsidRPr="00893E8B">
        <w:rPr>
          <w:b/>
          <w:bCs/>
        </w:rPr>
        <w:t>II.b</w:t>
      </w:r>
      <w:proofErr w:type="spellEnd"/>
      <w:r w:rsidRPr="00893E8B">
        <w:rPr>
          <w:b/>
          <w:bCs/>
        </w:rPr>
        <w:t xml:space="preserve"> del Informe de Afectaciones Extraordinarias por Pérdidas de Energía en la zona de concesión de ENSA, de mayo de 2025</w:t>
      </w:r>
      <w:r w:rsidR="0093258B" w:rsidRPr="00893E8B">
        <w:rPr>
          <w:b/>
          <w:bCs/>
        </w:rPr>
        <w:t xml:space="preserve"> </w:t>
      </w:r>
      <w:r w:rsidR="002F5967" w:rsidRPr="00893E8B">
        <w:t>(</w:t>
      </w:r>
      <w:r w:rsidR="00392DAF" w:rsidRPr="00893E8B">
        <w:t>remitida mediante notaVPER-170-25)</w:t>
      </w:r>
      <w:r w:rsidR="002F5967" w:rsidRPr="00893E8B">
        <w:t>)</w:t>
      </w:r>
      <w:r w:rsidRPr="00893E8B">
        <w:t xml:space="preserve">, así como en el documento complementario </w:t>
      </w:r>
      <w:r w:rsidRPr="00893E8B">
        <w:rPr>
          <w:b/>
          <w:bCs/>
        </w:rPr>
        <w:t>“Anexo Punto N°4 – Nota VI-069-2026”</w:t>
      </w:r>
      <w:r w:rsidRPr="00893E8B">
        <w:t>, donde se presentan los datos actualizados al cierre del año 2025.</w:t>
      </w:r>
    </w:p>
    <w:p w14:paraId="5AA493CC" w14:textId="77777777" w:rsidR="009947CE" w:rsidRPr="00893E8B" w:rsidRDefault="009947CE" w:rsidP="001F7D79">
      <w:pPr>
        <w:jc w:val="both"/>
      </w:pPr>
      <w:r w:rsidRPr="00893E8B">
        <w:t>Desde el punto de vista estructural, ENSA ha abordado la reducción de pérdidas no técnicas mediante tres líneas principales de acción, alineadas con la naturaleza de las causas que las originan.</w:t>
      </w:r>
    </w:p>
    <w:p w14:paraId="76C6E886" w14:textId="77777777" w:rsidR="009947CE" w:rsidRPr="00893E8B" w:rsidRDefault="009947CE" w:rsidP="001F7D79">
      <w:pPr>
        <w:jc w:val="both"/>
      </w:pPr>
      <w:r w:rsidRPr="00893E8B">
        <w:t xml:space="preserve">La primera corresponde a las inversiones en bloqueo de red, orientadas al control estructural del hurto. ENSA ha implementado un programa sostenido de inversiones en blindaje de red, mediante la instalación de sistemas de medición concentrada y barreras técnicas que dificultan la manipulación de las acometidas. La inversión total aproximada para el período </w:t>
      </w:r>
      <w:r w:rsidRPr="00893E8B">
        <w:rPr>
          <w:b/>
          <w:bCs/>
        </w:rPr>
        <w:t>2022–2025 asciende a B/. 46.5 millones</w:t>
      </w:r>
      <w:r w:rsidRPr="00893E8B">
        <w:t xml:space="preserve">, con más de </w:t>
      </w:r>
      <w:r w:rsidRPr="00893E8B">
        <w:rPr>
          <w:b/>
          <w:bCs/>
        </w:rPr>
        <w:t>55,200 clientes intervenidos</w:t>
      </w:r>
      <w:r w:rsidRPr="00893E8B">
        <w:t xml:space="preserve"> y una efectividad estimada de reducción de pérdidas del </w:t>
      </w:r>
      <w:r w:rsidRPr="00893E8B">
        <w:rPr>
          <w:b/>
          <w:bCs/>
        </w:rPr>
        <w:t>50% al 60% en zonas intervenidas</w:t>
      </w:r>
      <w:r w:rsidRPr="00893E8B">
        <w:t>. Estas intervenciones han permitido transformar zonas de alta pérdida en áreas más gestionables, reduciendo la recurrencia del fraude y mejorando la sostenibilidad de las acciones operativas.</w:t>
      </w:r>
    </w:p>
    <w:p w14:paraId="47D360B4" w14:textId="77777777" w:rsidR="009947CE" w:rsidRPr="00893E8B" w:rsidRDefault="009947CE" w:rsidP="001F7D79">
      <w:pPr>
        <w:jc w:val="both"/>
      </w:pPr>
      <w:r w:rsidRPr="00893E8B">
        <w:t xml:space="preserve">La segunda línea corresponde a la captación de clientes ilegales, orientada a la regularización parcial del consumo. Para zonas donde no es viable una intervención estructural completa, ENSA ha desarrollado estrategias de captación de usuarios ilegales, incorporándolos al sistema mediante esquemas como la medición prepago. Entre </w:t>
      </w:r>
      <w:r w:rsidRPr="00893E8B">
        <w:rPr>
          <w:b/>
          <w:bCs/>
        </w:rPr>
        <w:t>2022 y 2025 se captaron más de 37,800 clientes</w:t>
      </w:r>
      <w:r w:rsidRPr="00893E8B">
        <w:t>, con inversiones anuales detalladas en el anexo respectivo. El enfoque aplicado combina formalización sin barreras técnicas con inspección continua, permitiendo reducir pérdidas comerciales en zonas donde la intervención física total no resulta viable en el corto plazo.</w:t>
      </w:r>
    </w:p>
    <w:p w14:paraId="1331B555" w14:textId="77777777" w:rsidR="009947CE" w:rsidRPr="00893E8B" w:rsidRDefault="009947CE" w:rsidP="001F7D79">
      <w:pPr>
        <w:jc w:val="both"/>
      </w:pPr>
      <w:r w:rsidRPr="00893E8B">
        <w:t xml:space="preserve">La tercera línea corresponde a inspecciones y control operativo como mecanismo de gestión continua de pérdidas. ENSA ejecutó un programa intensivo de inspecciones para la detección de irregularidades, con un total de </w:t>
      </w:r>
      <w:r w:rsidRPr="00893E8B">
        <w:rPr>
          <w:b/>
          <w:bCs/>
        </w:rPr>
        <w:t>368,600 inspecciones entre 2022 y 2025</w:t>
      </w:r>
      <w:r w:rsidRPr="00893E8B">
        <w:t xml:space="preserve"> y un costo directo aproximado de </w:t>
      </w:r>
      <w:r w:rsidRPr="00893E8B">
        <w:rPr>
          <w:b/>
          <w:bCs/>
        </w:rPr>
        <w:t>B/. 9.1 millones</w:t>
      </w:r>
      <w:r w:rsidRPr="00893E8B">
        <w:t xml:space="preserve">. Aproximadamente una tercera parte de estas inspecciones se concentró en zonas de reconocimiento especial. Los resultados reportados muestran, en zonas rojas, un </w:t>
      </w:r>
      <w:r w:rsidRPr="00893E8B">
        <w:rPr>
          <w:b/>
          <w:bCs/>
        </w:rPr>
        <w:t>63% de hallazgos y aproximadamente 20% de fraude</w:t>
      </w:r>
      <w:r w:rsidRPr="00893E8B">
        <w:t xml:space="preserve">, mientras que en otras </w:t>
      </w:r>
      <w:r w:rsidRPr="00893E8B">
        <w:lastRenderedPageBreak/>
        <w:t xml:space="preserve">zonas se registró </w:t>
      </w:r>
      <w:r w:rsidRPr="00893E8B">
        <w:rPr>
          <w:b/>
          <w:bCs/>
        </w:rPr>
        <w:t>54% de hallazgos y alrededor de 9% de fraude</w:t>
      </w:r>
      <w:r w:rsidRPr="00893E8B">
        <w:t>. Adicionalmente, este programa se apoya en herramientas de analítica de datos para optimizar la selección de inspecciones e incrementar su efectividad.</w:t>
      </w:r>
    </w:p>
    <w:p w14:paraId="75062C7B" w14:textId="5D4E77CE" w:rsidR="009947CE" w:rsidRPr="00893E8B" w:rsidRDefault="009947CE" w:rsidP="001F7D79">
      <w:pPr>
        <w:jc w:val="both"/>
      </w:pPr>
      <w:r w:rsidRPr="00893E8B">
        <w:t xml:space="preserve">En cuanto a los resultados obtenidos, los indicadores reportados evidencian una gestión activa y sostenida. La energía total recuperada entre 2022 y 2025 fue de </w:t>
      </w:r>
      <w:r w:rsidRPr="00893E8B">
        <w:rPr>
          <w:b/>
          <w:bCs/>
        </w:rPr>
        <w:t xml:space="preserve">29.8 GWh en 2022, 32.6 GWh en 2023, 45.8 GWh en 2024 y </w:t>
      </w:r>
      <w:r w:rsidR="008F6FD1" w:rsidRPr="00893E8B">
        <w:rPr>
          <w:b/>
          <w:bCs/>
        </w:rPr>
        <w:t>50.1</w:t>
      </w:r>
      <w:r w:rsidRPr="00893E8B">
        <w:rPr>
          <w:b/>
          <w:bCs/>
        </w:rPr>
        <w:t xml:space="preserve"> GWh en 2025</w:t>
      </w:r>
      <w:r w:rsidRPr="00893E8B">
        <w:t xml:space="preserve">. La energía recuperada directamente atribuible a proyectos se ubicó entre </w:t>
      </w:r>
      <w:r w:rsidRPr="00893E8B">
        <w:rPr>
          <w:b/>
          <w:bCs/>
        </w:rPr>
        <w:t>5.6 y 8.6 GWh anuales</w:t>
      </w:r>
      <w:r w:rsidRPr="00893E8B">
        <w:t xml:space="preserve">. A su vez, el índice de pérdidas se ha mantenido en torno a </w:t>
      </w:r>
      <w:r w:rsidRPr="00893E8B">
        <w:rPr>
          <w:b/>
          <w:bCs/>
        </w:rPr>
        <w:t>10.3%–10.6%</w:t>
      </w:r>
      <w:r w:rsidRPr="00893E8B">
        <w:t xml:space="preserve">, lo que evidencia contención del crecimiento del problema a pesar de condiciones estructurales adversas. Adicionalmente, el informe 2025 ya indicaba que, en el período 2022–2024, se logró una reducción aproximada de </w:t>
      </w:r>
      <w:r w:rsidRPr="00893E8B">
        <w:rPr>
          <w:b/>
          <w:bCs/>
        </w:rPr>
        <w:t>0.20% en el índice de pérdidas</w:t>
      </w:r>
      <w:r w:rsidRPr="00893E8B">
        <w:t>, junto con recuperación energética acumulada.</w:t>
      </w:r>
    </w:p>
    <w:p w14:paraId="08E56A24" w14:textId="0341F287" w:rsidR="009947CE" w:rsidRPr="00893E8B" w:rsidRDefault="009947CE" w:rsidP="001F7D79">
      <w:pPr>
        <w:jc w:val="both"/>
      </w:pPr>
      <w:r w:rsidRPr="00893E8B">
        <w:t xml:space="preserve">Toda la información presentada se encuentra respaldada en el Informe de mayo de 2025, particularmente en su </w:t>
      </w:r>
      <w:r w:rsidRPr="00893E8B">
        <w:rPr>
          <w:b/>
          <w:bCs/>
        </w:rPr>
        <w:t xml:space="preserve">Sección </w:t>
      </w:r>
      <w:proofErr w:type="spellStart"/>
      <w:r w:rsidRPr="00893E8B">
        <w:rPr>
          <w:b/>
          <w:bCs/>
        </w:rPr>
        <w:t>II.b</w:t>
      </w:r>
      <w:proofErr w:type="spellEnd"/>
      <w:r w:rsidRPr="00893E8B">
        <w:t xml:space="preserve">, en las figuras y tablas asociadas a inversiones, inspecciones y resultados, en el </w:t>
      </w:r>
      <w:r w:rsidRPr="00893E8B">
        <w:rPr>
          <w:b/>
          <w:bCs/>
        </w:rPr>
        <w:t>Anexo Punto N°4 de la nota VI-069-2026</w:t>
      </w:r>
      <w:r w:rsidRPr="00893E8B">
        <w:t xml:space="preserve"> y en las bases internas de ENSA correspondientes a sistemas comerciales, registros operativos e inspecciones</w:t>
      </w:r>
      <w:r w:rsidR="000F12D7" w:rsidRPr="00893E8B">
        <w:t>,</w:t>
      </w:r>
      <w:r w:rsidR="004924BF" w:rsidRPr="00893E8B">
        <w:t xml:space="preserve"> las cua</w:t>
      </w:r>
      <w:r w:rsidR="007B06B5" w:rsidRPr="00893E8B">
        <w:t>les son</w:t>
      </w:r>
      <w:r w:rsidR="004129DD" w:rsidRPr="00893E8B">
        <w:t xml:space="preserve"> </w:t>
      </w:r>
      <w:r w:rsidR="001646B9" w:rsidRPr="00893E8B">
        <w:t>aportadas como adjunto</w:t>
      </w:r>
      <w:r w:rsidR="008264E2" w:rsidRPr="00893E8B">
        <w:t xml:space="preserve"> </w:t>
      </w:r>
      <w:r w:rsidR="00E059C0" w:rsidRPr="00893E8B">
        <w:t>(</w:t>
      </w:r>
      <w:r w:rsidR="00B97753" w:rsidRPr="00893E8B">
        <w:t>a</w:t>
      </w:r>
      <w:r w:rsidR="00FC2A7C" w:rsidRPr="00893E8B">
        <w:t>rchi</w:t>
      </w:r>
      <w:r w:rsidR="003A747D" w:rsidRPr="00893E8B">
        <w:t xml:space="preserve">vo </w:t>
      </w:r>
      <w:r w:rsidR="000E01F5" w:rsidRPr="00893E8B">
        <w:t>“</w:t>
      </w:r>
      <w:r w:rsidR="003A747D" w:rsidRPr="00893E8B">
        <w:t>ener</w:t>
      </w:r>
      <w:r w:rsidR="00901D7D" w:rsidRPr="00893E8B">
        <w:t>gía re</w:t>
      </w:r>
      <w:r w:rsidR="00881548" w:rsidRPr="00893E8B">
        <w:t>c</w:t>
      </w:r>
      <w:r w:rsidR="00EB75C5" w:rsidRPr="00893E8B">
        <w:t>upera</w:t>
      </w:r>
      <w:r w:rsidR="003B6108" w:rsidRPr="00893E8B">
        <w:t>da</w:t>
      </w:r>
      <w:r w:rsidR="0013074B" w:rsidRPr="00893E8B">
        <w:t>”</w:t>
      </w:r>
      <w:r w:rsidR="00E059C0" w:rsidRPr="00893E8B">
        <w:t>)</w:t>
      </w:r>
      <w:r w:rsidRPr="00893E8B">
        <w:t>.</w:t>
      </w:r>
    </w:p>
    <w:p w14:paraId="099C8B39" w14:textId="64148AF0" w:rsidR="00155936" w:rsidRPr="00893E8B" w:rsidRDefault="009947CE" w:rsidP="001F7D79">
      <w:pPr>
        <w:jc w:val="both"/>
      </w:pPr>
      <w:r w:rsidRPr="00893E8B">
        <w:t>En consecuencia, los antecedentes presentados evidencian que ENSA ha ejecutado acciones concretas, sostenidas y cuantificables; ha destinado recursos significativos de inversión y operación; y ha obtenido resultados medibles en recuperación de energía y control de pérdidas. Por tanto, no se está frente a una situación de inacción o falta de gestión, sino ante una problemática cuya persistencia responde a condiciones estructurales —sociales, legales y de seguridad— que exceden la capacidad de control absoluto de la empresa, aun cuando se mantenga un esfuerzo operativo continuo.</w:t>
      </w:r>
    </w:p>
    <w:p w14:paraId="71EAFD8A" w14:textId="2DC21496" w:rsidR="001A78B6" w:rsidRPr="00893E8B" w:rsidRDefault="001F7D79" w:rsidP="001F7D79">
      <w:pPr>
        <w:pStyle w:val="Ttulo2"/>
      </w:pPr>
      <w:r w:rsidRPr="00893E8B">
        <w:t>5. Plan Operativo 2026-2030</w:t>
      </w:r>
    </w:p>
    <w:p w14:paraId="14251464" w14:textId="77777777" w:rsidR="00F2611C" w:rsidRPr="00893E8B" w:rsidRDefault="00F2611C" w:rsidP="00F2611C">
      <w:pPr>
        <w:jc w:val="both"/>
      </w:pPr>
      <w:r w:rsidRPr="00893E8B">
        <w:t>Respecto del requerimiento de presentar un plan de reducción de pérdidas para el período tarifario comprendido entre julio de 2026 y junio de 2030, identificando las acciones por tipo de causa, las inversiones y gastos asociados, así como metas anuales de reducción que permitan alcanzar niveles eficientes de pérdidas, ENSA deja constancia de lo siguiente:</w:t>
      </w:r>
    </w:p>
    <w:p w14:paraId="6D8BF753" w14:textId="77777777" w:rsidR="00F2611C" w:rsidRPr="00893E8B" w:rsidRDefault="00F2611C" w:rsidP="00F2611C">
      <w:pPr>
        <w:jc w:val="both"/>
      </w:pPr>
      <w:r w:rsidRPr="00893E8B">
        <w:t>En primer lugar, es importante señalar que la formulación de un plan de reducción de pérdidas para el período tarifario solicitado se sustenta en la experiencia operativa acumulada durante los últimos años, así como en los resultados obtenidos mediante la implementación de estrategias diferenciadas según la tipología de pérdidas identificadas en la zona de concesión.</w:t>
      </w:r>
    </w:p>
    <w:p w14:paraId="2D9C116E" w14:textId="77777777" w:rsidR="00F2611C" w:rsidRPr="00893E8B" w:rsidRDefault="00F2611C" w:rsidP="00F2611C">
      <w:pPr>
        <w:jc w:val="both"/>
      </w:pPr>
      <w:r w:rsidRPr="00893E8B">
        <w:t>En este sentido, el enfoque del plan se estructura sobre tres ejes principales, alineados con las causas predominantes de las pérdidas no técnicas: (i) pérdidas asociadas a zonas rojas, (</w:t>
      </w:r>
      <w:proofErr w:type="spellStart"/>
      <w:r w:rsidRPr="00893E8B">
        <w:t>ii</w:t>
      </w:r>
      <w:proofErr w:type="spellEnd"/>
      <w:r w:rsidRPr="00893E8B">
        <w:t>) pérdidas asociadas a asentamientos ilegales (invasiones), y (</w:t>
      </w:r>
      <w:proofErr w:type="spellStart"/>
      <w:r w:rsidRPr="00893E8B">
        <w:t>iii</w:t>
      </w:r>
      <w:proofErr w:type="spellEnd"/>
      <w:r w:rsidRPr="00893E8B">
        <w:t>) pérdidas en zonas de alta pérdida con presencia de clientes regulares.</w:t>
      </w:r>
    </w:p>
    <w:p w14:paraId="5793C0E4" w14:textId="77777777" w:rsidR="002371DF" w:rsidRPr="00893E8B" w:rsidRDefault="002371DF" w:rsidP="00F2611C">
      <w:pPr>
        <w:jc w:val="both"/>
      </w:pPr>
    </w:p>
    <w:p w14:paraId="3AD74759" w14:textId="77777777" w:rsidR="005B100A" w:rsidRPr="00893E8B" w:rsidRDefault="005B100A" w:rsidP="00F2611C">
      <w:pPr>
        <w:jc w:val="both"/>
      </w:pPr>
    </w:p>
    <w:p w14:paraId="7A8242AB" w14:textId="70E5CC30" w:rsidR="000E7FF3" w:rsidRPr="00893E8B" w:rsidRDefault="000E7FF3" w:rsidP="008035AE">
      <w:pPr>
        <w:pStyle w:val="Ttulo3"/>
        <w:numPr>
          <w:ilvl w:val="0"/>
          <w:numId w:val="9"/>
        </w:numPr>
      </w:pPr>
      <w:r w:rsidRPr="00893E8B">
        <w:lastRenderedPageBreak/>
        <w:t>Acciones en zonas rojas</w:t>
      </w:r>
    </w:p>
    <w:p w14:paraId="4811C558" w14:textId="77777777" w:rsidR="00662E3C" w:rsidRPr="00893E8B" w:rsidRDefault="00662E3C" w:rsidP="000E7FF3">
      <w:pPr>
        <w:jc w:val="both"/>
      </w:pPr>
    </w:p>
    <w:p w14:paraId="40F97BBD" w14:textId="77777777" w:rsidR="00662E3C" w:rsidRPr="00893E8B" w:rsidRDefault="00662E3C" w:rsidP="00A15B00">
      <w:pPr>
        <w:jc w:val="both"/>
      </w:pPr>
      <w:r w:rsidRPr="00893E8B">
        <w:t>En las zonas clasificadas como zonas rojas, las acciones se orientan a intervenciones estructurales de la red, complementadas con un fortalecimiento del control operativo, considerando las restricciones de seguridad que caracterizan estos sectores.</w:t>
      </w:r>
    </w:p>
    <w:p w14:paraId="3E0CDD4C" w14:textId="77777777" w:rsidR="00662E3C" w:rsidRPr="00893E8B" w:rsidRDefault="00662E3C" w:rsidP="00A15B00">
      <w:pPr>
        <w:jc w:val="both"/>
      </w:pPr>
      <w:r w:rsidRPr="00893E8B">
        <w:t>Las principales líneas de acción comprenden:</w:t>
      </w:r>
    </w:p>
    <w:p w14:paraId="1A040B35" w14:textId="77777777" w:rsidR="000E7FF3" w:rsidRPr="00893E8B" w:rsidRDefault="000E7FF3" w:rsidP="00A15B00">
      <w:pPr>
        <w:numPr>
          <w:ilvl w:val="0"/>
          <w:numId w:val="7"/>
        </w:numPr>
        <w:jc w:val="both"/>
      </w:pPr>
      <w:r w:rsidRPr="00893E8B">
        <w:t xml:space="preserve">implementación de esquemas de </w:t>
      </w:r>
      <w:r w:rsidRPr="00893E8B">
        <w:rPr>
          <w:b/>
          <w:bCs/>
        </w:rPr>
        <w:t>bloqueo y blindaje de red</w:t>
      </w:r>
      <w:r w:rsidRPr="00893E8B">
        <w:t xml:space="preserve"> </w:t>
      </w:r>
    </w:p>
    <w:p w14:paraId="282EC094" w14:textId="2B7D08D8" w:rsidR="000E7FF3" w:rsidRPr="00893E8B" w:rsidRDefault="00662E3C" w:rsidP="00A15B00">
      <w:pPr>
        <w:numPr>
          <w:ilvl w:val="0"/>
          <w:numId w:val="7"/>
        </w:numPr>
        <w:jc w:val="both"/>
      </w:pPr>
      <w:r w:rsidRPr="00893E8B">
        <w:t>ejecución</w:t>
      </w:r>
      <w:r w:rsidR="000E7FF3" w:rsidRPr="00893E8B">
        <w:t xml:space="preserve"> de </w:t>
      </w:r>
      <w:r w:rsidR="000E7FF3" w:rsidRPr="00893E8B">
        <w:rPr>
          <w:b/>
          <w:bCs/>
        </w:rPr>
        <w:t>inspecciones focalizadas con apoyo de la fuerza pública</w:t>
      </w:r>
      <w:r w:rsidR="000E7FF3" w:rsidRPr="00893E8B">
        <w:t xml:space="preserve"> </w:t>
      </w:r>
    </w:p>
    <w:p w14:paraId="249EBCD1" w14:textId="77777777" w:rsidR="000E7FF3" w:rsidRPr="00893E8B" w:rsidRDefault="000E7FF3" w:rsidP="00A15B00">
      <w:pPr>
        <w:numPr>
          <w:ilvl w:val="0"/>
          <w:numId w:val="7"/>
        </w:numPr>
        <w:jc w:val="both"/>
      </w:pPr>
      <w:r w:rsidRPr="00893E8B">
        <w:t xml:space="preserve">fortalecimiento de capacidades de </w:t>
      </w:r>
      <w:r w:rsidRPr="00893E8B">
        <w:rPr>
          <w:b/>
          <w:bCs/>
        </w:rPr>
        <w:t>monitoreo y analítica de pérdidas</w:t>
      </w:r>
      <w:r w:rsidRPr="00893E8B">
        <w:t xml:space="preserve"> </w:t>
      </w:r>
    </w:p>
    <w:p w14:paraId="4438330E" w14:textId="77777777" w:rsidR="00662E3C" w:rsidRPr="00893E8B" w:rsidRDefault="00662E3C" w:rsidP="00A15B00">
      <w:pPr>
        <w:jc w:val="both"/>
      </w:pPr>
      <w:r w:rsidRPr="00893E8B">
        <w:t xml:space="preserve">Cabe precisar que la </w:t>
      </w:r>
      <w:r w:rsidRPr="00893E8B">
        <w:rPr>
          <w:b/>
          <w:bCs/>
        </w:rPr>
        <w:t>red blindada integra medición concentrada como parte de su configuración</w:t>
      </w:r>
      <w:r w:rsidRPr="00893E8B">
        <w:t>, constituyendo una solución tecnológica unificada.</w:t>
      </w:r>
    </w:p>
    <w:p w14:paraId="3B0B7043" w14:textId="77777777" w:rsidR="00662E3C" w:rsidRPr="00893E8B" w:rsidRDefault="00662E3C" w:rsidP="00A15B00">
      <w:pPr>
        <w:jc w:val="both"/>
      </w:pPr>
      <w:r w:rsidRPr="00893E8B">
        <w:t xml:space="preserve">Asimismo, dicha infraestructura incorpora </w:t>
      </w:r>
      <w:r w:rsidRPr="00893E8B">
        <w:rPr>
          <w:b/>
          <w:bCs/>
        </w:rPr>
        <w:t>tecnología AMI</w:t>
      </w:r>
      <w:r w:rsidRPr="00893E8B">
        <w:t>, lo que permite disponer de información oportuna y de alta resolución sobre el comportamiento del consumo.</w:t>
      </w:r>
    </w:p>
    <w:p w14:paraId="40DE7B74" w14:textId="77777777" w:rsidR="00662E3C" w:rsidRPr="00893E8B" w:rsidRDefault="00662E3C" w:rsidP="00A15B00">
      <w:pPr>
        <w:jc w:val="both"/>
      </w:pPr>
      <w:r w:rsidRPr="00893E8B">
        <w:t xml:space="preserve">En complemento, mediante la inversión en </w:t>
      </w:r>
      <w:proofErr w:type="spellStart"/>
      <w:r w:rsidRPr="00893E8B">
        <w:rPr>
          <w:b/>
          <w:bCs/>
        </w:rPr>
        <w:t>macromedición</w:t>
      </w:r>
      <w:proofErr w:type="spellEnd"/>
      <w:r w:rsidRPr="00893E8B">
        <w:t>, se implementará un esquema de seguimiento soportado en datos provenientes de AMI, orientado a:</w:t>
      </w:r>
    </w:p>
    <w:p w14:paraId="3232E510" w14:textId="77777777" w:rsidR="00662E3C" w:rsidRPr="00893E8B" w:rsidRDefault="00662E3C" w:rsidP="00A15B00">
      <w:pPr>
        <w:numPr>
          <w:ilvl w:val="0"/>
          <w:numId w:val="14"/>
        </w:numPr>
        <w:jc w:val="both"/>
      </w:pPr>
      <w:r w:rsidRPr="00893E8B">
        <w:t xml:space="preserve">la detección temprana de intervenciones o irregularidades </w:t>
      </w:r>
    </w:p>
    <w:p w14:paraId="658A5B12" w14:textId="77777777" w:rsidR="00662E3C" w:rsidRPr="00893E8B" w:rsidRDefault="00662E3C" w:rsidP="00A15B00">
      <w:pPr>
        <w:numPr>
          <w:ilvl w:val="0"/>
          <w:numId w:val="14"/>
        </w:numPr>
        <w:jc w:val="both"/>
      </w:pPr>
      <w:r w:rsidRPr="00893E8B">
        <w:t xml:space="preserve">la mejora en la efectividad de las acciones de inspección </w:t>
      </w:r>
    </w:p>
    <w:p w14:paraId="07D4AD97" w14:textId="77777777" w:rsidR="00662E3C" w:rsidRPr="00893E8B" w:rsidRDefault="00662E3C" w:rsidP="00A15B00">
      <w:pPr>
        <w:numPr>
          <w:ilvl w:val="0"/>
          <w:numId w:val="14"/>
        </w:numPr>
        <w:jc w:val="both"/>
      </w:pPr>
      <w:r w:rsidRPr="00893E8B">
        <w:t xml:space="preserve">el monitoreo continuo de las condiciones de la red </w:t>
      </w:r>
    </w:p>
    <w:p w14:paraId="05142A7D" w14:textId="77777777" w:rsidR="00662E3C" w:rsidRPr="00893E8B" w:rsidRDefault="00662E3C" w:rsidP="00A15B00">
      <w:pPr>
        <w:jc w:val="both"/>
      </w:pPr>
      <w:r w:rsidRPr="00893E8B">
        <w:t xml:space="preserve">Este enfoque permitirá </w:t>
      </w:r>
      <w:r w:rsidRPr="00893E8B">
        <w:rPr>
          <w:b/>
          <w:bCs/>
        </w:rPr>
        <w:t>reducir la dependencia de seguimiento operativo en campo</w:t>
      </w:r>
      <w:r w:rsidRPr="00893E8B">
        <w:t>, así como disminuir la probabilidad de deterioro de las condiciones de las zonas intervenidas.</w:t>
      </w:r>
    </w:p>
    <w:p w14:paraId="75A25572" w14:textId="1471535E" w:rsidR="00662E3C" w:rsidRPr="00893E8B" w:rsidRDefault="00682993" w:rsidP="00A15B00">
      <w:pPr>
        <w:jc w:val="both"/>
      </w:pPr>
      <w:r w:rsidRPr="00893E8B">
        <w:t>Pa</w:t>
      </w:r>
      <w:r w:rsidR="0011341E" w:rsidRPr="00893E8B">
        <w:t>ra cono</w:t>
      </w:r>
      <w:r w:rsidR="007D230F" w:rsidRPr="00893E8B">
        <w:t xml:space="preserve">cimiento de </w:t>
      </w:r>
      <w:r w:rsidR="0036320A" w:rsidRPr="00893E8B">
        <w:t xml:space="preserve">su </w:t>
      </w:r>
      <w:r w:rsidR="00A65052" w:rsidRPr="00893E8B">
        <w:t>A</w:t>
      </w:r>
      <w:r w:rsidR="00B60BD9" w:rsidRPr="00893E8B">
        <w:t>uto</w:t>
      </w:r>
      <w:r w:rsidR="001B7884" w:rsidRPr="00893E8B">
        <w:t>ridad</w:t>
      </w:r>
      <w:r w:rsidR="00950727" w:rsidRPr="00893E8B">
        <w:t>, como pa</w:t>
      </w:r>
      <w:r w:rsidR="00FF1872" w:rsidRPr="00893E8B">
        <w:t>rte de la</w:t>
      </w:r>
      <w:r w:rsidR="00C130A6" w:rsidRPr="00893E8B">
        <w:t xml:space="preserve"> </w:t>
      </w:r>
      <w:r w:rsidR="00B96C77" w:rsidRPr="00893E8B">
        <w:t xml:space="preserve">información </w:t>
      </w:r>
      <w:r w:rsidR="00354808" w:rsidRPr="00893E8B">
        <w:t>ad</w:t>
      </w:r>
      <w:r w:rsidR="001A7BEE" w:rsidRPr="00893E8B">
        <w:t>icional</w:t>
      </w:r>
      <w:r w:rsidR="00CE7C74" w:rsidRPr="00893E8B">
        <w:t>, j</w:t>
      </w:r>
      <w:r w:rsidR="009A2B0F" w:rsidRPr="00893E8B">
        <w:t>unto a e</w:t>
      </w:r>
      <w:r w:rsidR="000D4F37" w:rsidRPr="00893E8B">
        <w:t>ste inform</w:t>
      </w:r>
      <w:r w:rsidR="007D264D" w:rsidRPr="00893E8B">
        <w:t>e se c</w:t>
      </w:r>
      <w:r w:rsidR="00D31927" w:rsidRPr="00893E8B">
        <w:t>ompar</w:t>
      </w:r>
      <w:r w:rsidR="00D322C0" w:rsidRPr="00893E8B">
        <w:t xml:space="preserve">te </w:t>
      </w:r>
      <w:r w:rsidR="00001E94" w:rsidRPr="00893E8B">
        <w:t>el</w:t>
      </w:r>
      <w:r w:rsidR="000F294C" w:rsidRPr="00893E8B">
        <w:t xml:space="preserve"> arch</w:t>
      </w:r>
      <w:r w:rsidR="006D567E" w:rsidRPr="00893E8B">
        <w:t>i</w:t>
      </w:r>
      <w:r w:rsidR="00FA7423" w:rsidRPr="00893E8B">
        <w:t xml:space="preserve">vo </w:t>
      </w:r>
      <w:r w:rsidR="00511636" w:rsidRPr="00893E8B">
        <w:t>Totalizadores ENSA - Marzo 2026</w:t>
      </w:r>
      <w:r w:rsidR="00D54088" w:rsidRPr="00893E8B">
        <w:t xml:space="preserve"> qu</w:t>
      </w:r>
      <w:r w:rsidR="00136EF9" w:rsidRPr="00893E8B">
        <w:t>e con</w:t>
      </w:r>
      <w:r w:rsidR="00473288" w:rsidRPr="00893E8B">
        <w:t>tiene</w:t>
      </w:r>
      <w:r w:rsidR="009D357D" w:rsidRPr="00893E8B">
        <w:t xml:space="preserve"> </w:t>
      </w:r>
      <w:r w:rsidR="00FA7423" w:rsidRPr="00893E8B">
        <w:t>e</w:t>
      </w:r>
      <w:r w:rsidR="00107AC4" w:rsidRPr="00893E8B">
        <w:t>l detall</w:t>
      </w:r>
      <w:r w:rsidR="00A577E0" w:rsidRPr="00893E8B">
        <w:t>e de los</w:t>
      </w:r>
      <w:r w:rsidR="00D55C07" w:rsidRPr="00893E8B">
        <w:t xml:space="preserve"> </w:t>
      </w:r>
      <w:r w:rsidR="00963EB2" w:rsidRPr="00893E8B">
        <w:t>transf</w:t>
      </w:r>
      <w:r w:rsidR="00AC1125" w:rsidRPr="00893E8B">
        <w:t xml:space="preserve">ormadores </w:t>
      </w:r>
      <w:r w:rsidR="00A1143C" w:rsidRPr="00893E8B">
        <w:t xml:space="preserve">con </w:t>
      </w:r>
      <w:proofErr w:type="spellStart"/>
      <w:r w:rsidR="007D1A26" w:rsidRPr="00893E8B">
        <w:t>ma</w:t>
      </w:r>
      <w:r w:rsidR="00D9740F" w:rsidRPr="00893E8B">
        <w:t>cromedi</w:t>
      </w:r>
      <w:r w:rsidR="00631E99" w:rsidRPr="00893E8B">
        <w:t>cion</w:t>
      </w:r>
      <w:proofErr w:type="spellEnd"/>
      <w:r w:rsidR="00631E99" w:rsidRPr="00893E8B">
        <w:t xml:space="preserve"> habil</w:t>
      </w:r>
      <w:r w:rsidR="007A3C42" w:rsidRPr="00893E8B">
        <w:t>i</w:t>
      </w:r>
      <w:r w:rsidR="00EE7325" w:rsidRPr="00893E8B">
        <w:t>tada a m</w:t>
      </w:r>
      <w:r w:rsidR="00CA0561" w:rsidRPr="00893E8B">
        <w:t>a</w:t>
      </w:r>
      <w:r w:rsidR="004A6FF2" w:rsidRPr="00893E8B">
        <w:t>rzo de</w:t>
      </w:r>
      <w:r w:rsidR="00D96FE3" w:rsidRPr="00893E8B">
        <w:t xml:space="preserve">l </w:t>
      </w:r>
      <w:r w:rsidR="00693753" w:rsidRPr="00893E8B">
        <w:t xml:space="preserve">presente </w:t>
      </w:r>
      <w:r w:rsidR="002D3887" w:rsidRPr="00893E8B">
        <w:t>añ</w:t>
      </w:r>
      <w:r w:rsidR="009E4EEB" w:rsidRPr="00893E8B">
        <w:t xml:space="preserve">o. </w:t>
      </w:r>
      <w:r w:rsidR="001B7884" w:rsidRPr="00893E8B">
        <w:t xml:space="preserve"> </w:t>
      </w:r>
    </w:p>
    <w:p w14:paraId="345B781E" w14:textId="7A5BE886" w:rsidR="008D7E91" w:rsidRPr="00893E8B" w:rsidRDefault="008D7E91" w:rsidP="008035AE">
      <w:pPr>
        <w:pStyle w:val="Ttulo3"/>
        <w:numPr>
          <w:ilvl w:val="0"/>
          <w:numId w:val="9"/>
        </w:numPr>
      </w:pPr>
      <w:r w:rsidRPr="00893E8B">
        <w:t>Acciones en asentamientos ilegales (invasiones)</w:t>
      </w:r>
    </w:p>
    <w:p w14:paraId="341BF502" w14:textId="77777777" w:rsidR="008D7E91" w:rsidRPr="00893E8B" w:rsidRDefault="008D7E91" w:rsidP="008D7E91">
      <w:pPr>
        <w:jc w:val="both"/>
      </w:pPr>
      <w:r w:rsidRPr="00893E8B">
        <w:t>En el caso de los asentamientos ilegales, el plan reconoce las limitaciones legales y operativas existentes para la normalización del servicio, constituyendo este frente el principal desafío en la gestión de pérdidas no técnicas.</w:t>
      </w:r>
    </w:p>
    <w:p w14:paraId="2F932CF6" w14:textId="77777777" w:rsidR="008D7E91" w:rsidRPr="00893E8B" w:rsidRDefault="008D7E91" w:rsidP="008D7E91">
      <w:pPr>
        <w:jc w:val="both"/>
      </w:pPr>
      <w:r w:rsidRPr="00893E8B">
        <w:t xml:space="preserve">ENSA mantiene un </w:t>
      </w:r>
      <w:r w:rsidRPr="00893E8B">
        <w:rPr>
          <w:b/>
          <w:bCs/>
        </w:rPr>
        <w:t>seguimiento cercano y continuo con entidades gubernamentales y gobiernos locales</w:t>
      </w:r>
      <w:r w:rsidRPr="00893E8B">
        <w:t>, con el objetivo de viabilizar, en el menor tiempo posible, los procesos necesarios para la regularización de estos asentamientos.</w:t>
      </w:r>
    </w:p>
    <w:p w14:paraId="3C30AE09" w14:textId="77777777" w:rsidR="008D7E91" w:rsidRPr="00893E8B" w:rsidRDefault="008D7E91" w:rsidP="008D7E91">
      <w:pPr>
        <w:jc w:val="both"/>
      </w:pPr>
      <w:r w:rsidRPr="00893E8B">
        <w:t xml:space="preserve">En línea con la experiencia acumulada en este frente y considerando las limitaciones presupuestarias existentes, se ha contemplado la asignación de recursos específicos para el período comprendido entre </w:t>
      </w:r>
      <w:r w:rsidRPr="00893E8B">
        <w:rPr>
          <w:b/>
          <w:bCs/>
        </w:rPr>
        <w:t>julio y diciembre de 2026</w:t>
      </w:r>
      <w:r w:rsidRPr="00893E8B">
        <w:t>, orientados a apoyar las gestiones de regularización.</w:t>
      </w:r>
    </w:p>
    <w:p w14:paraId="329172DA" w14:textId="77777777" w:rsidR="008D7E91" w:rsidRPr="00893E8B" w:rsidRDefault="008D7E91" w:rsidP="008D7E91">
      <w:pPr>
        <w:jc w:val="both"/>
      </w:pPr>
      <w:r w:rsidRPr="00893E8B">
        <w:lastRenderedPageBreak/>
        <w:t xml:space="preserve">Dado que estos asentamientos representan </w:t>
      </w:r>
      <w:r w:rsidRPr="00893E8B">
        <w:rPr>
          <w:b/>
          <w:bCs/>
        </w:rPr>
        <w:t>pérdidas del 100% de la energía suministrada</w:t>
      </w:r>
      <w:r w:rsidRPr="00893E8B">
        <w:t xml:space="preserve">, la estrategia adoptada contempla una </w:t>
      </w:r>
      <w:r w:rsidRPr="00893E8B">
        <w:rPr>
          <w:b/>
          <w:bCs/>
        </w:rPr>
        <w:t>gestión flexible de los recursos a nivel gerencial y organizacional</w:t>
      </w:r>
      <w:r w:rsidRPr="00893E8B">
        <w:t>, de manera que:</w:t>
      </w:r>
    </w:p>
    <w:p w14:paraId="10EFD809" w14:textId="77777777" w:rsidR="008D7E91" w:rsidRPr="00893E8B" w:rsidRDefault="008D7E91" w:rsidP="008D7E91">
      <w:pPr>
        <w:numPr>
          <w:ilvl w:val="0"/>
          <w:numId w:val="2"/>
        </w:numPr>
        <w:jc w:val="both"/>
      </w:pPr>
      <w:r w:rsidRPr="00893E8B">
        <w:t xml:space="preserve">se puedan dinamizar los presupuestos disponibles para atender las necesidades de construcción y regularización de estas comunidades, cuando las condiciones lo permitan </w:t>
      </w:r>
    </w:p>
    <w:p w14:paraId="5C3F85A5" w14:textId="77777777" w:rsidR="008D7E91" w:rsidRPr="00893E8B" w:rsidRDefault="008D7E91" w:rsidP="008D7E91">
      <w:pPr>
        <w:numPr>
          <w:ilvl w:val="0"/>
          <w:numId w:val="2"/>
        </w:numPr>
        <w:jc w:val="both"/>
      </w:pPr>
      <w:r w:rsidRPr="00893E8B">
        <w:t xml:space="preserve">sin comprometer o bloquear dichos recursos de forma permanente, permitiendo su reasignación a otros frentes de trabajo en caso de no lograrse viabilidad en este ámbito </w:t>
      </w:r>
    </w:p>
    <w:p w14:paraId="0BF6E383" w14:textId="77777777" w:rsidR="008D7E91" w:rsidRPr="00893E8B" w:rsidRDefault="008D7E91" w:rsidP="008D7E91">
      <w:pPr>
        <w:jc w:val="both"/>
      </w:pPr>
      <w:r w:rsidRPr="00893E8B">
        <w:t xml:space="preserve">Adicionalmente, se está dando </w:t>
      </w:r>
      <w:r w:rsidRPr="00893E8B">
        <w:rPr>
          <w:b/>
          <w:bCs/>
        </w:rPr>
        <w:t>seguimiento prioritario</w:t>
      </w:r>
      <w:r w:rsidRPr="00893E8B">
        <w:t xml:space="preserve"> a los procesos de legalización de comunidades específicas de alto impacto, entre las que destacan:</w:t>
      </w:r>
    </w:p>
    <w:p w14:paraId="1982C088" w14:textId="77777777" w:rsidR="008D7E91" w:rsidRPr="00893E8B" w:rsidRDefault="008D7E91" w:rsidP="008D7E91">
      <w:pPr>
        <w:numPr>
          <w:ilvl w:val="0"/>
          <w:numId w:val="4"/>
        </w:numPr>
        <w:jc w:val="both"/>
      </w:pPr>
      <w:r w:rsidRPr="00893E8B">
        <w:rPr>
          <w:b/>
          <w:bCs/>
        </w:rPr>
        <w:t>Fundación Coral (Panamá Este)</w:t>
      </w:r>
      <w:r w:rsidRPr="00893E8B">
        <w:t xml:space="preserve"> </w:t>
      </w:r>
    </w:p>
    <w:p w14:paraId="4820CDC3" w14:textId="595447F1" w:rsidR="008D7E91" w:rsidRPr="00893E8B" w:rsidRDefault="008D7E91" w:rsidP="008D7E91">
      <w:pPr>
        <w:numPr>
          <w:ilvl w:val="0"/>
          <w:numId w:val="4"/>
        </w:numPr>
        <w:jc w:val="both"/>
      </w:pPr>
      <w:r w:rsidRPr="00893E8B">
        <w:t xml:space="preserve">comunidades </w:t>
      </w:r>
      <w:r w:rsidR="00584881" w:rsidRPr="00893E8B">
        <w:t xml:space="preserve">en </w:t>
      </w:r>
      <w:r w:rsidR="00B8260F" w:rsidRPr="00893E8B">
        <w:t>terre</w:t>
      </w:r>
      <w:r w:rsidR="00A3195B" w:rsidRPr="00893E8B">
        <w:t>n</w:t>
      </w:r>
      <w:r w:rsidR="00065E84" w:rsidRPr="00893E8B">
        <w:t>os prop</w:t>
      </w:r>
      <w:r w:rsidR="00A52EC0" w:rsidRPr="00893E8B">
        <w:t>ieda</w:t>
      </w:r>
      <w:r w:rsidR="00C76C1D" w:rsidRPr="00893E8B">
        <w:t xml:space="preserve">d de </w:t>
      </w:r>
      <w:r w:rsidRPr="00893E8B">
        <w:rPr>
          <w:b/>
          <w:bCs/>
        </w:rPr>
        <w:t>Zona Libre de Colón</w:t>
      </w:r>
      <w:r w:rsidR="00D93F97" w:rsidRPr="00893E8B">
        <w:rPr>
          <w:b/>
          <w:bCs/>
        </w:rPr>
        <w:t xml:space="preserve"> </w:t>
      </w:r>
      <w:r w:rsidR="00D93F97" w:rsidRPr="00893E8B">
        <w:t>en</w:t>
      </w:r>
      <w:r w:rsidR="00CD2EAE" w:rsidRPr="00893E8B">
        <w:t xml:space="preserve"> zona </w:t>
      </w:r>
      <w:r w:rsidR="00F4119B" w:rsidRPr="00893E8B">
        <w:t>c</w:t>
      </w:r>
      <w:r w:rsidR="00DB2786" w:rsidRPr="00893E8B">
        <w:t xml:space="preserve">ontigua </w:t>
      </w:r>
      <w:r w:rsidR="00E976CC" w:rsidRPr="00893E8B">
        <w:t>a A</w:t>
      </w:r>
      <w:r w:rsidR="00322AC3" w:rsidRPr="00893E8B">
        <w:t>er</w:t>
      </w:r>
      <w:r w:rsidR="00067A02" w:rsidRPr="00893E8B">
        <w:t>op</w:t>
      </w:r>
      <w:r w:rsidR="00222168" w:rsidRPr="00893E8B">
        <w:t>uerto E</w:t>
      </w:r>
      <w:r w:rsidR="006E0C87" w:rsidRPr="00893E8B">
        <w:t>nriq</w:t>
      </w:r>
      <w:r w:rsidR="00E30A51" w:rsidRPr="00893E8B">
        <w:t>ue A</w:t>
      </w:r>
      <w:r w:rsidR="00D2245F" w:rsidRPr="00893E8B">
        <w:t xml:space="preserve">. </w:t>
      </w:r>
      <w:proofErr w:type="spellStart"/>
      <w:r w:rsidR="00D2245F" w:rsidRPr="00893E8B">
        <w:t>Ji</w:t>
      </w:r>
      <w:r w:rsidR="003255DC" w:rsidRPr="00893E8B">
        <w:t>men</w:t>
      </w:r>
      <w:r w:rsidR="003F5F14" w:rsidRPr="00893E8B">
        <w:t>ez</w:t>
      </w:r>
      <w:proofErr w:type="spellEnd"/>
      <w:r w:rsidR="003F5F14" w:rsidRPr="00893E8B">
        <w:t xml:space="preserve">. </w:t>
      </w:r>
      <w:r w:rsidRPr="00893E8B">
        <w:t xml:space="preserve"> </w:t>
      </w:r>
    </w:p>
    <w:p w14:paraId="2D82A010" w14:textId="77777777" w:rsidR="008D7E91" w:rsidRPr="00893E8B" w:rsidRDefault="008D7E91" w:rsidP="008D7E91">
      <w:pPr>
        <w:jc w:val="both"/>
      </w:pPr>
      <w:r w:rsidRPr="00893E8B">
        <w:t>las cuales corresponden a los asentamientos de mayor tamaño identificados y, por tanto, con mayor incidencia en el nivel de pérdidas.</w:t>
      </w:r>
    </w:p>
    <w:p w14:paraId="3F8E0B78" w14:textId="77777777" w:rsidR="008035AE" w:rsidRPr="00893E8B" w:rsidRDefault="008035AE" w:rsidP="008035AE">
      <w:pPr>
        <w:pStyle w:val="Ttulo3"/>
        <w:numPr>
          <w:ilvl w:val="0"/>
          <w:numId w:val="9"/>
        </w:numPr>
      </w:pPr>
      <w:r w:rsidRPr="00893E8B">
        <w:t>Acciones en zonas de alta pérdida</w:t>
      </w:r>
    </w:p>
    <w:p w14:paraId="475ACA8B" w14:textId="77777777" w:rsidR="008035AE" w:rsidRPr="00893E8B" w:rsidRDefault="008035AE" w:rsidP="008035AE">
      <w:pPr>
        <w:jc w:val="both"/>
      </w:pPr>
      <w:r w:rsidRPr="00893E8B">
        <w:t>Para las zonas de alta pérdida con presencia de clientes regulares, el plan se orienta a la reducción directa de pérdidas mediante intervenciones técnicas y comerciales.</w:t>
      </w:r>
    </w:p>
    <w:p w14:paraId="01190912" w14:textId="77777777" w:rsidR="008035AE" w:rsidRPr="00893E8B" w:rsidRDefault="008035AE" w:rsidP="008035AE">
      <w:pPr>
        <w:jc w:val="both"/>
      </w:pPr>
      <w:r w:rsidRPr="00893E8B">
        <w:t>Las acciones incluyen:</w:t>
      </w:r>
    </w:p>
    <w:p w14:paraId="387DB176" w14:textId="77777777" w:rsidR="008035AE" w:rsidRPr="00893E8B" w:rsidRDefault="008035AE" w:rsidP="008035AE">
      <w:pPr>
        <w:numPr>
          <w:ilvl w:val="0"/>
          <w:numId w:val="6"/>
        </w:numPr>
        <w:jc w:val="both"/>
      </w:pPr>
      <w:r w:rsidRPr="00893E8B">
        <w:t xml:space="preserve">intensificación de </w:t>
      </w:r>
      <w:r w:rsidRPr="00893E8B">
        <w:rPr>
          <w:b/>
          <w:bCs/>
        </w:rPr>
        <w:t>programas de inspección y detección de fraude</w:t>
      </w:r>
      <w:r w:rsidRPr="00893E8B">
        <w:t xml:space="preserve"> </w:t>
      </w:r>
    </w:p>
    <w:p w14:paraId="490DBF01" w14:textId="77777777" w:rsidR="008035AE" w:rsidRPr="00893E8B" w:rsidRDefault="008035AE" w:rsidP="008035AE">
      <w:pPr>
        <w:numPr>
          <w:ilvl w:val="0"/>
          <w:numId w:val="6"/>
        </w:numPr>
        <w:jc w:val="both"/>
      </w:pPr>
      <w:r w:rsidRPr="00893E8B">
        <w:t xml:space="preserve">ejecución de </w:t>
      </w:r>
      <w:r w:rsidRPr="00893E8B">
        <w:rPr>
          <w:b/>
          <w:bCs/>
        </w:rPr>
        <w:t>proyectos de normalización de redes y acometidas</w:t>
      </w:r>
      <w:r w:rsidRPr="00893E8B">
        <w:t xml:space="preserve"> </w:t>
      </w:r>
    </w:p>
    <w:p w14:paraId="2F656514" w14:textId="77777777" w:rsidR="008035AE" w:rsidRPr="00893E8B" w:rsidRDefault="008035AE" w:rsidP="008035AE">
      <w:pPr>
        <w:numPr>
          <w:ilvl w:val="0"/>
          <w:numId w:val="6"/>
        </w:numPr>
        <w:jc w:val="both"/>
      </w:pPr>
      <w:r w:rsidRPr="00893E8B">
        <w:t xml:space="preserve">sustitución de equipos de medición y mejora de la </w:t>
      </w:r>
      <w:r w:rsidRPr="00893E8B">
        <w:rPr>
          <w:b/>
          <w:bCs/>
        </w:rPr>
        <w:t>infraestructura de medición</w:t>
      </w:r>
      <w:r w:rsidRPr="00893E8B">
        <w:t xml:space="preserve"> </w:t>
      </w:r>
    </w:p>
    <w:p w14:paraId="5FE37054" w14:textId="77777777" w:rsidR="008035AE" w:rsidRPr="00893E8B" w:rsidRDefault="008035AE" w:rsidP="008035AE">
      <w:pPr>
        <w:numPr>
          <w:ilvl w:val="0"/>
          <w:numId w:val="6"/>
        </w:numPr>
        <w:jc w:val="both"/>
      </w:pPr>
      <w:r w:rsidRPr="00893E8B">
        <w:t xml:space="preserve">implementación de herramientas de </w:t>
      </w:r>
      <w:r w:rsidRPr="00893E8B">
        <w:rPr>
          <w:b/>
          <w:bCs/>
        </w:rPr>
        <w:t>analítica avanzada para identificación de pérdidas</w:t>
      </w:r>
      <w:r w:rsidRPr="00893E8B">
        <w:t xml:space="preserve"> </w:t>
      </w:r>
    </w:p>
    <w:p w14:paraId="33592BF8" w14:textId="77777777" w:rsidR="008035AE" w:rsidRPr="00893E8B" w:rsidRDefault="008035AE" w:rsidP="008035AE">
      <w:pPr>
        <w:jc w:val="both"/>
      </w:pPr>
      <w:r w:rsidRPr="00893E8B">
        <w:t xml:space="preserve">En este contexto, se contempla que ENSA continúe expandiendo su </w:t>
      </w:r>
      <w:r w:rsidRPr="00893E8B">
        <w:rPr>
          <w:b/>
          <w:bCs/>
        </w:rPr>
        <w:t>nivel de penetración de tecnología AMI</w:t>
      </w:r>
      <w:r w:rsidRPr="00893E8B">
        <w:t xml:space="preserve">, complementado con inversiones estratégicas por parte de la Gerencia de Recuperación de Energía en el </w:t>
      </w:r>
      <w:r w:rsidRPr="00893E8B">
        <w:rPr>
          <w:b/>
          <w:bCs/>
        </w:rPr>
        <w:t xml:space="preserve">robustecimiento y expansión de la </w:t>
      </w:r>
      <w:proofErr w:type="spellStart"/>
      <w:r w:rsidRPr="00893E8B">
        <w:rPr>
          <w:b/>
          <w:bCs/>
        </w:rPr>
        <w:t>macromedición</w:t>
      </w:r>
      <w:proofErr w:type="spellEnd"/>
      <w:r w:rsidRPr="00893E8B">
        <w:t>.</w:t>
      </w:r>
    </w:p>
    <w:p w14:paraId="7EF8A0AE" w14:textId="77777777" w:rsidR="008035AE" w:rsidRPr="00893E8B" w:rsidRDefault="008035AE" w:rsidP="008035AE">
      <w:pPr>
        <w:jc w:val="both"/>
      </w:pPr>
      <w:r w:rsidRPr="00893E8B">
        <w:t xml:space="preserve">Lo anterior permitirá contar con </w:t>
      </w:r>
      <w:r w:rsidRPr="00893E8B">
        <w:rPr>
          <w:b/>
          <w:bCs/>
        </w:rPr>
        <w:t>mejores insumos de información</w:t>
      </w:r>
      <w:r w:rsidRPr="00893E8B">
        <w:t xml:space="preserve"> para el seguimiento y control operativo de estas zonas, facilitando:</w:t>
      </w:r>
    </w:p>
    <w:p w14:paraId="23394061" w14:textId="77777777" w:rsidR="008035AE" w:rsidRPr="00893E8B" w:rsidRDefault="008035AE" w:rsidP="008035AE">
      <w:pPr>
        <w:numPr>
          <w:ilvl w:val="0"/>
          <w:numId w:val="16"/>
        </w:numPr>
        <w:jc w:val="both"/>
      </w:pPr>
      <w:r w:rsidRPr="00893E8B">
        <w:t xml:space="preserve">la identificación de las </w:t>
      </w:r>
      <w:r w:rsidRPr="00893E8B">
        <w:rPr>
          <w:b/>
          <w:bCs/>
        </w:rPr>
        <w:t>mejores oportunidades de recuperación de energía</w:t>
      </w:r>
      <w:r w:rsidRPr="00893E8B">
        <w:t xml:space="preserve"> </w:t>
      </w:r>
    </w:p>
    <w:p w14:paraId="666784CE" w14:textId="77777777" w:rsidR="008035AE" w:rsidRPr="00893E8B" w:rsidRDefault="008035AE" w:rsidP="008035AE">
      <w:pPr>
        <w:numPr>
          <w:ilvl w:val="0"/>
          <w:numId w:val="16"/>
        </w:numPr>
        <w:jc w:val="both"/>
      </w:pPr>
      <w:r w:rsidRPr="00893E8B">
        <w:t xml:space="preserve">la detección de </w:t>
      </w:r>
      <w:r w:rsidRPr="00893E8B">
        <w:rPr>
          <w:b/>
          <w:bCs/>
        </w:rPr>
        <w:t>zonas con deterioro progresivo</w:t>
      </w:r>
      <w:r w:rsidRPr="00893E8B">
        <w:t xml:space="preserve">, que requieran intervención prioritaria </w:t>
      </w:r>
    </w:p>
    <w:p w14:paraId="2C5EBC30" w14:textId="77777777" w:rsidR="008035AE" w:rsidRPr="00893E8B" w:rsidRDefault="008035AE" w:rsidP="008035AE">
      <w:pPr>
        <w:numPr>
          <w:ilvl w:val="0"/>
          <w:numId w:val="16"/>
        </w:numPr>
        <w:jc w:val="both"/>
      </w:pPr>
      <w:r w:rsidRPr="00893E8B">
        <w:t xml:space="preserve">una </w:t>
      </w:r>
      <w:r w:rsidRPr="00893E8B">
        <w:rPr>
          <w:b/>
          <w:bCs/>
        </w:rPr>
        <w:t>optimización en el uso de los recursos disponibles</w:t>
      </w:r>
      <w:r w:rsidRPr="00893E8B">
        <w:t xml:space="preserve">, enfocándolos en áreas de mayor impacto </w:t>
      </w:r>
    </w:p>
    <w:p w14:paraId="49663FC0" w14:textId="77777777" w:rsidR="008035AE" w:rsidRPr="00893E8B" w:rsidRDefault="008035AE" w:rsidP="008035AE">
      <w:pPr>
        <w:jc w:val="both"/>
      </w:pPr>
      <w:r w:rsidRPr="00893E8B">
        <w:lastRenderedPageBreak/>
        <w:t xml:space="preserve">De esta manera, la combinación de información proveniente de AMI y </w:t>
      </w:r>
      <w:proofErr w:type="spellStart"/>
      <w:r w:rsidRPr="00893E8B">
        <w:t>macromedición</w:t>
      </w:r>
      <w:proofErr w:type="spellEnd"/>
      <w:r w:rsidRPr="00893E8B">
        <w:t xml:space="preserve"> permitirá evolucionar hacia un esquema de gestión más </w:t>
      </w:r>
      <w:r w:rsidRPr="00893E8B">
        <w:rPr>
          <w:b/>
          <w:bCs/>
        </w:rPr>
        <w:t>proactivo y focalizado</w:t>
      </w:r>
      <w:r w:rsidRPr="00893E8B">
        <w:t>, incrementando la efectividad de las acciones de control de pérdidas.</w:t>
      </w:r>
    </w:p>
    <w:p w14:paraId="0F386F88" w14:textId="77777777" w:rsidR="0047378E" w:rsidRPr="00893E8B" w:rsidRDefault="0047378E" w:rsidP="0047378E">
      <w:pPr>
        <w:pStyle w:val="Ttulo3"/>
        <w:numPr>
          <w:ilvl w:val="0"/>
          <w:numId w:val="9"/>
        </w:numPr>
      </w:pPr>
      <w:r w:rsidRPr="00893E8B">
        <w:t>Inversiones y gastos asociados</w:t>
      </w:r>
    </w:p>
    <w:p w14:paraId="230DE303" w14:textId="77777777" w:rsidR="0099628E" w:rsidRPr="00893E8B" w:rsidRDefault="0099628E" w:rsidP="0099628E">
      <w:pPr>
        <w:jc w:val="both"/>
      </w:pPr>
      <w:r w:rsidRPr="00893E8B">
        <w:t xml:space="preserve">El plan contempla una asignación total de recursos del orden de </w:t>
      </w:r>
      <w:r w:rsidRPr="00893E8B">
        <w:rPr>
          <w:b/>
          <w:bCs/>
        </w:rPr>
        <w:t>$23.8 millones</w:t>
      </w:r>
      <w:r w:rsidRPr="00893E8B">
        <w:t>, orientada a la atención diferenciada de los principales frentes de pérdidas.</w:t>
      </w:r>
    </w:p>
    <w:p w14:paraId="66CAB05F" w14:textId="77777777" w:rsidR="0099628E" w:rsidRPr="00893E8B" w:rsidRDefault="0099628E" w:rsidP="0099628E">
      <w:pPr>
        <w:jc w:val="both"/>
      </w:pPr>
      <w:r w:rsidRPr="00893E8B">
        <w:t>La distribución de estos recursos es la siguiente:</w:t>
      </w:r>
    </w:p>
    <w:p w14:paraId="08DD2064" w14:textId="77777777" w:rsidR="0099628E" w:rsidRPr="00893E8B" w:rsidRDefault="0099628E" w:rsidP="0099628E">
      <w:pPr>
        <w:numPr>
          <w:ilvl w:val="0"/>
          <w:numId w:val="15"/>
        </w:numPr>
        <w:jc w:val="both"/>
      </w:pPr>
      <w:r w:rsidRPr="00893E8B">
        <w:rPr>
          <w:b/>
          <w:bCs/>
        </w:rPr>
        <w:t>$350 mil</w:t>
      </w:r>
      <w:r w:rsidRPr="00893E8B">
        <w:t xml:space="preserve"> destinados a la gestión de </w:t>
      </w:r>
      <w:r w:rsidRPr="00893E8B">
        <w:rPr>
          <w:b/>
          <w:bCs/>
        </w:rPr>
        <w:t>asentamientos ilegales</w:t>
      </w:r>
      <w:r w:rsidRPr="00893E8B">
        <w:t xml:space="preserve">, bajo un esquema de disponibilidad flexible sujeto a viabilidad </w:t>
      </w:r>
    </w:p>
    <w:p w14:paraId="26305F77" w14:textId="77777777" w:rsidR="0099628E" w:rsidRPr="00893E8B" w:rsidRDefault="0099628E" w:rsidP="0099628E">
      <w:pPr>
        <w:numPr>
          <w:ilvl w:val="0"/>
          <w:numId w:val="15"/>
        </w:numPr>
        <w:jc w:val="both"/>
      </w:pPr>
      <w:r w:rsidRPr="00893E8B">
        <w:rPr>
          <w:b/>
          <w:bCs/>
        </w:rPr>
        <w:t>$1.48 millones</w:t>
      </w:r>
      <w:r w:rsidRPr="00893E8B">
        <w:t xml:space="preserve"> destinados al </w:t>
      </w:r>
      <w:r w:rsidRPr="00893E8B">
        <w:rPr>
          <w:b/>
          <w:bCs/>
        </w:rPr>
        <w:t>frente de inspección</w:t>
      </w:r>
      <w:r w:rsidRPr="00893E8B">
        <w:t xml:space="preserve">, con una ejecución estimada de </w:t>
      </w:r>
      <w:r w:rsidRPr="00893E8B">
        <w:rPr>
          <w:b/>
          <w:bCs/>
        </w:rPr>
        <w:t>350 mil inspecciones durante el período tarifario</w:t>
      </w:r>
      <w:r w:rsidRPr="00893E8B">
        <w:t xml:space="preserve"> </w:t>
      </w:r>
    </w:p>
    <w:p w14:paraId="28CB287B" w14:textId="77777777" w:rsidR="0099628E" w:rsidRPr="00893E8B" w:rsidRDefault="0099628E" w:rsidP="0099628E">
      <w:pPr>
        <w:numPr>
          <w:ilvl w:val="0"/>
          <w:numId w:val="15"/>
        </w:numPr>
        <w:jc w:val="both"/>
      </w:pPr>
      <w:r w:rsidRPr="00893E8B">
        <w:rPr>
          <w:b/>
          <w:bCs/>
        </w:rPr>
        <w:t>$17.3 millones</w:t>
      </w:r>
      <w:r w:rsidRPr="00893E8B">
        <w:t xml:space="preserve"> destinados a </w:t>
      </w:r>
      <w:r w:rsidRPr="00893E8B">
        <w:rPr>
          <w:b/>
          <w:bCs/>
        </w:rPr>
        <w:t>proyectos de blindaje de red</w:t>
      </w:r>
      <w:r w:rsidRPr="00893E8B">
        <w:t>, distribuidos en:</w:t>
      </w:r>
    </w:p>
    <w:p w14:paraId="13ADE72A" w14:textId="77777777" w:rsidR="0047378E" w:rsidRPr="00893E8B" w:rsidRDefault="0047378E" w:rsidP="0099628E">
      <w:pPr>
        <w:numPr>
          <w:ilvl w:val="1"/>
          <w:numId w:val="15"/>
        </w:numPr>
        <w:jc w:val="both"/>
      </w:pPr>
      <w:r w:rsidRPr="00893E8B">
        <w:rPr>
          <w:b/>
          <w:bCs/>
        </w:rPr>
        <w:t>$8.6 millones</w:t>
      </w:r>
      <w:r w:rsidRPr="00893E8B">
        <w:t xml:space="preserve"> en </w:t>
      </w:r>
      <w:r w:rsidRPr="00893E8B">
        <w:rPr>
          <w:b/>
          <w:bCs/>
        </w:rPr>
        <w:t>Panamá y Sistemas Regionales</w:t>
      </w:r>
      <w:r w:rsidRPr="00893E8B">
        <w:t xml:space="preserve"> </w:t>
      </w:r>
    </w:p>
    <w:p w14:paraId="1189F919" w14:textId="77777777" w:rsidR="0047378E" w:rsidRPr="00893E8B" w:rsidRDefault="0047378E" w:rsidP="0099628E">
      <w:pPr>
        <w:numPr>
          <w:ilvl w:val="1"/>
          <w:numId w:val="15"/>
        </w:numPr>
        <w:jc w:val="both"/>
      </w:pPr>
      <w:r w:rsidRPr="00893E8B">
        <w:rPr>
          <w:b/>
          <w:bCs/>
        </w:rPr>
        <w:t>$8.7 millones</w:t>
      </w:r>
      <w:r w:rsidRPr="00893E8B">
        <w:t xml:space="preserve"> en </w:t>
      </w:r>
      <w:r w:rsidRPr="00893E8B">
        <w:rPr>
          <w:b/>
          <w:bCs/>
        </w:rPr>
        <w:t>Colón</w:t>
      </w:r>
      <w:r w:rsidRPr="00893E8B">
        <w:t xml:space="preserve"> </w:t>
      </w:r>
    </w:p>
    <w:p w14:paraId="57F12BFF" w14:textId="77777777" w:rsidR="0099628E" w:rsidRPr="00893E8B" w:rsidRDefault="0099628E" w:rsidP="00011577">
      <w:pPr>
        <w:ind w:left="720"/>
        <w:jc w:val="both"/>
      </w:pPr>
      <w:r w:rsidRPr="00893E8B">
        <w:t xml:space="preserve">Esta inversión permitirá la </w:t>
      </w:r>
      <w:r w:rsidRPr="00893E8B">
        <w:rPr>
          <w:b/>
          <w:bCs/>
        </w:rPr>
        <w:t>intervención de aproximadamente 494 transformadores</w:t>
      </w:r>
      <w:r w:rsidRPr="00893E8B">
        <w:t xml:space="preserve">, beneficiando del orden de </w:t>
      </w:r>
      <w:r w:rsidRPr="00893E8B">
        <w:rPr>
          <w:b/>
          <w:bCs/>
        </w:rPr>
        <w:t>20 mil clientes</w:t>
      </w:r>
      <w:r w:rsidRPr="00893E8B">
        <w:t xml:space="preserve">, incluyendo tanto clientes existentes como nuevos clientes formalizados, así como una </w:t>
      </w:r>
      <w:r w:rsidRPr="00893E8B">
        <w:rPr>
          <w:b/>
          <w:bCs/>
        </w:rPr>
        <w:t>expansión equivalente del parque de clientes con tecnología AMI</w:t>
      </w:r>
      <w:r w:rsidRPr="00893E8B">
        <w:t>.</w:t>
      </w:r>
    </w:p>
    <w:p w14:paraId="5A31BE29" w14:textId="77777777" w:rsidR="0099628E" w:rsidRPr="00893E8B" w:rsidRDefault="0099628E" w:rsidP="0099628E">
      <w:pPr>
        <w:numPr>
          <w:ilvl w:val="0"/>
          <w:numId w:val="15"/>
        </w:numPr>
        <w:jc w:val="both"/>
      </w:pPr>
      <w:r w:rsidRPr="00893E8B">
        <w:rPr>
          <w:b/>
          <w:bCs/>
        </w:rPr>
        <w:t>$4.6 millones</w:t>
      </w:r>
      <w:r w:rsidRPr="00893E8B">
        <w:t xml:space="preserve"> destinados a la </w:t>
      </w:r>
      <w:r w:rsidRPr="00893E8B">
        <w:rPr>
          <w:b/>
          <w:bCs/>
        </w:rPr>
        <w:t xml:space="preserve">expansión, actualización y mantenimiento de la red de </w:t>
      </w:r>
      <w:proofErr w:type="spellStart"/>
      <w:r w:rsidRPr="00893E8B">
        <w:rPr>
          <w:b/>
          <w:bCs/>
        </w:rPr>
        <w:t>macromedición</w:t>
      </w:r>
      <w:proofErr w:type="spellEnd"/>
      <w:r w:rsidRPr="00893E8B">
        <w:t xml:space="preserve">, lo que se traduce en aproximadamente </w:t>
      </w:r>
      <w:r w:rsidRPr="00893E8B">
        <w:rPr>
          <w:b/>
          <w:bCs/>
        </w:rPr>
        <w:t>10.6 mil intervenciones</w:t>
      </w:r>
      <w:r w:rsidRPr="00893E8B">
        <w:t xml:space="preserve">, distribuidas en: </w:t>
      </w:r>
    </w:p>
    <w:p w14:paraId="415913A5" w14:textId="77777777" w:rsidR="0099628E" w:rsidRPr="00893E8B" w:rsidRDefault="0099628E" w:rsidP="0099628E">
      <w:pPr>
        <w:numPr>
          <w:ilvl w:val="1"/>
          <w:numId w:val="15"/>
        </w:numPr>
        <w:jc w:val="both"/>
      </w:pPr>
      <w:r w:rsidRPr="00893E8B">
        <w:rPr>
          <w:b/>
          <w:bCs/>
        </w:rPr>
        <w:t>7.4 mil intervenciones</w:t>
      </w:r>
      <w:r w:rsidRPr="00893E8B">
        <w:t xml:space="preserve"> de </w:t>
      </w:r>
      <w:r w:rsidRPr="00893E8B">
        <w:rPr>
          <w:b/>
          <w:bCs/>
        </w:rPr>
        <w:t>mantenimiento y actualización de la red existente</w:t>
      </w:r>
      <w:r w:rsidRPr="00893E8B">
        <w:t xml:space="preserve"> </w:t>
      </w:r>
    </w:p>
    <w:p w14:paraId="1153783C" w14:textId="77777777" w:rsidR="0099628E" w:rsidRPr="00893E8B" w:rsidRDefault="0099628E" w:rsidP="0099628E">
      <w:pPr>
        <w:numPr>
          <w:ilvl w:val="1"/>
          <w:numId w:val="15"/>
        </w:numPr>
        <w:jc w:val="both"/>
      </w:pPr>
      <w:r w:rsidRPr="00893E8B">
        <w:rPr>
          <w:b/>
          <w:bCs/>
        </w:rPr>
        <w:t>3.2 mil intervenciones</w:t>
      </w:r>
      <w:r w:rsidRPr="00893E8B">
        <w:t xml:space="preserve"> para la </w:t>
      </w:r>
      <w:r w:rsidRPr="00893E8B">
        <w:rPr>
          <w:b/>
          <w:bCs/>
        </w:rPr>
        <w:t>expansión mediante nuevos puntos de medición</w:t>
      </w:r>
      <w:r w:rsidRPr="00893E8B">
        <w:t xml:space="preserve"> </w:t>
      </w:r>
    </w:p>
    <w:p w14:paraId="4A3860BA" w14:textId="77777777" w:rsidR="0099628E" w:rsidRPr="00893E8B" w:rsidRDefault="0099628E" w:rsidP="005B32C3">
      <w:pPr>
        <w:ind w:left="708"/>
        <w:jc w:val="both"/>
      </w:pPr>
      <w:r w:rsidRPr="00893E8B">
        <w:t>Estas inversiones permitirán fortalecer la capacidad de monitoreo del sistema, incrementando la granularidad de la información y mejorando la efectividad de las acciones de control y recuperación.</w:t>
      </w:r>
    </w:p>
    <w:p w14:paraId="5DBBB735" w14:textId="2E94492F" w:rsidR="001F7D79" w:rsidRPr="00893E8B" w:rsidRDefault="00035840" w:rsidP="00035840">
      <w:pPr>
        <w:pStyle w:val="Ttulo2"/>
      </w:pPr>
      <w:r w:rsidRPr="00893E8B">
        <w:t>6. Consideraciones sobre el reconocimiento de pérdidas en zonas especiales</w:t>
      </w:r>
    </w:p>
    <w:p w14:paraId="1D93D2B9" w14:textId="77777777" w:rsidR="00E77025" w:rsidRPr="00893E8B" w:rsidRDefault="00E77025" w:rsidP="00E77025">
      <w:pPr>
        <w:jc w:val="both"/>
      </w:pPr>
      <w:r w:rsidRPr="00893E8B">
        <w:t>Sin perjuicio del criterio adoptado por la Autoridad, respetuosamente consideramos que la conclusión expuesta en este punto no refleja plenamente la naturaleza del problema que sustenta la solicitud de reconocimiento extraordinario de pérdidas de ENSA.</w:t>
      </w:r>
    </w:p>
    <w:p w14:paraId="4B07C1FF" w14:textId="77777777" w:rsidR="00E77025" w:rsidRPr="00893E8B" w:rsidRDefault="00E77025" w:rsidP="00E77025">
      <w:pPr>
        <w:jc w:val="both"/>
      </w:pPr>
      <w:r w:rsidRPr="00893E8B">
        <w:t xml:space="preserve">En primer lugar, conviene recordar que el nivel de pérdidas eficientes reconocido para el período 2026–2030 se construye a partir de ecuaciones de eficiencia estimadas con empresas comparadoras seleccionadas por la propia ASEP, correspondientes a </w:t>
      </w:r>
      <w:proofErr w:type="spellStart"/>
      <w:r w:rsidRPr="00893E8B">
        <w:t>utilities</w:t>
      </w:r>
      <w:proofErr w:type="spellEnd"/>
      <w:r w:rsidRPr="00893E8B">
        <w:t xml:space="preserve"> que operan en </w:t>
      </w:r>
      <w:r w:rsidRPr="00893E8B">
        <w:lastRenderedPageBreak/>
        <w:t>entornos institucionales, sociales, urbanos y de seguridad materialmente distintos a los que enfrenta ENSA en su zona de concesión. Precisamente por ello, el reconocimiento extraordinario solicitado no busca sustituir ni desconocer la referencia eficiente establecida por la metodología, sino complementarla en aquello que dicha referencia no logra captar: las pérdidas asociadas a zonas rojas, asentamientos informales y sectores con dinámicas sociales y operativas particularmente complejas.</w:t>
      </w:r>
    </w:p>
    <w:p w14:paraId="03AA35B9" w14:textId="77777777" w:rsidR="00E77025" w:rsidRPr="00893E8B" w:rsidRDefault="00E77025" w:rsidP="00E77025">
      <w:pPr>
        <w:jc w:val="both"/>
      </w:pPr>
      <w:r w:rsidRPr="00893E8B">
        <w:t>Desde esa perspectiva, el aspecto central no es si determinados indicadores agregados de pobreza o criminalidad a nivel país muestran una evolución favorable o estable, sino si dicha evolución es suficiente para equiparar el entorno operativo de ENSA al de las empresas comparadoras utilizadas para definir la frontera eficiente de pérdidas. A juicio de ENSA, la respuesta es negativa. Los indicadores nacionales reflejan tendencias generales, pero no capturan adecuadamente la concentración territorial de fenómenos como el hurto de energía, la informalidad urbana, la inseguridad operativa o la imposibilidad de regularizar asentamientos ilegales, todos ellos elementos que se manifiestan de forma localizada y que son precisamente los que explican la brecha extraordinaria identificada en el estudio presentado.</w:t>
      </w:r>
    </w:p>
    <w:p w14:paraId="33DBA4C4" w14:textId="77777777" w:rsidR="00E77025" w:rsidRPr="00893E8B" w:rsidRDefault="00E77025" w:rsidP="00E77025">
      <w:pPr>
        <w:jc w:val="both"/>
      </w:pPr>
      <w:r w:rsidRPr="00893E8B">
        <w:t xml:space="preserve">Adicionalmente, conviene resaltar una diferencia metodológica relevante. El </w:t>
      </w:r>
      <w:proofErr w:type="spellStart"/>
      <w:r w:rsidRPr="00893E8B">
        <w:t>benchmark</w:t>
      </w:r>
      <w:proofErr w:type="spellEnd"/>
      <w:r w:rsidRPr="00893E8B">
        <w:t xml:space="preserve"> eficiente de pérdidas fue construido a partir de empresas comparadoras y de una ecuación de eficiencia; sin embargo, la conclusión relativa al componente extraordinario se sustenta posteriormente en indicadores agregados de pobreza y criminalidad del país. Respetuosamente, consideramos que ello incorpora un criterio distinto al que dio origen a la referencia eficiente. En otras palabras, ENSA es contrastada con una frontera de eficiencia estimada con empresas que operan en un entorno sustancialmente diferente, pero el ajuste del componente extraordinario se justifica con promedios nacionales que no miden la realidad específica de las zonas que generan la afectación.</w:t>
      </w:r>
    </w:p>
    <w:p w14:paraId="0C4CD3A4" w14:textId="77777777" w:rsidR="00E77025" w:rsidRPr="00893E8B" w:rsidRDefault="00E77025" w:rsidP="00E77025">
      <w:pPr>
        <w:jc w:val="both"/>
      </w:pPr>
      <w:r w:rsidRPr="00893E8B">
        <w:t>Por otra parte, la propia evolución de la solicitud presentada por ENSA demuestra que la problemática extraordinaria no ha sido planteada de manera rígida ni sobredimensionada, sino actualizada con criterios más conservadores que en el período anterior. En efecto, mientras que el estudio base del ciclo previo estimó pérdidas extraordinarias del orden de 3.55%, el análisis actualizado para este ejercicio identifica un componente extraordinario de 2.97%, lo que evidencia una reducción respecto del pliego anterior. Es decir, la mejora observada en ciertos indicadores del entorno ya se encuentra reflejada en una menor solicitud extraordinaria. Sin embargo, esa disminución no permite concluir que la problemática haya desaparecido ni que, por ese solo hecho, su reconocimiento deba reducirse automáticamente a la mitad.</w:t>
      </w:r>
    </w:p>
    <w:p w14:paraId="7A5FE549" w14:textId="77777777" w:rsidR="00E77025" w:rsidRPr="00893E8B" w:rsidRDefault="00E77025" w:rsidP="00E77025">
      <w:pPr>
        <w:jc w:val="both"/>
      </w:pPr>
      <w:r w:rsidRPr="00893E8B">
        <w:t xml:space="preserve">Más aún, ENSA acreditó que, una vez aislado el efecto de las zonas extraordinarias, el comportamiento del resto de su sistema se alinea prácticamente con el nivel eficiente reconocido por la metodología. Este resultado es particularmente relevante, pues evidencia que la diferencia principal no proviene de una ineficiencia generalizada de la empresa, sino de un conjunto específico de condiciones sociales, territoriales, culturales y de seguridad que no están presentes —al menos no con la misma intensidad— en las empresas comparadoras. En otras palabras, el componente extraordinario solicitado no persigue trasladar a tarifa </w:t>
      </w:r>
      <w:r w:rsidRPr="00893E8B">
        <w:lastRenderedPageBreak/>
        <w:t>ineficiencias de gestión, sino reconocer una brecha estructural que el modelo comparativo no recoge por diseño.</w:t>
      </w:r>
    </w:p>
    <w:p w14:paraId="4BEC0FE3" w14:textId="77777777" w:rsidR="00E77025" w:rsidRPr="00893E8B" w:rsidRDefault="00E77025" w:rsidP="00E77025">
      <w:pPr>
        <w:jc w:val="both"/>
      </w:pPr>
      <w:r w:rsidRPr="00893E8B">
        <w:t>En ese contexto, el reconocimiento recurrente de solo el 50% del componente extraordinario no parece derivarse de una cuantificación específica de la severidad remanente del problema, sino de una regla general aplicada con independencia de la magnitud efectiva de la afectación acreditada. Respetuosamente, estimamos que una reducción parcial de esa naturaleza solo podría sostenerse si existiera fundamento suficiente para concluir que la mitad del fenómeno es gestionable por la empresa en condiciones ordinarias. Sin embargo, en los casos aquí documentados —particularmente en asentamientos ilegales, zonas rojas y sectores con alta resistencia a la formalización— ENSA ha demostrado que una parte relevante de las pérdidas obedece a factores ajenos a su control directo, incluyendo limitaciones legales para la normalización del servicio, necesidad de apoyo policial, vandalismo recurrente e imposibilidad material de intervención sostenida.</w:t>
      </w:r>
    </w:p>
    <w:p w14:paraId="3A2A66BC" w14:textId="77777777" w:rsidR="00E77025" w:rsidRPr="00893E8B" w:rsidRDefault="00E77025" w:rsidP="00E77025">
      <w:pPr>
        <w:jc w:val="both"/>
      </w:pPr>
      <w:r w:rsidRPr="00893E8B">
        <w:t>En consecuencia, la reducción observada en indicadores agregados de pobreza o criminalidad puede interpretarse, a lo sumo, como una señal de mejora relativa del contexto general; no obstante, ello no equivale a concluir que la problemática operativa específica que sustenta el reconocimiento extraordinario haya desaparecido, ni que su impacto se reduzca automáticamente al 50%. Lo que muestra la evidencia presentada por ENSA es algo distinto: que la afectación extraordinaria persiste, aunque en una magnitud menor que la identificada en el ejercicio anterior, y que dicha afectación responde a condiciones estructurales que continúan diferenciando de manera material el entorno de ENSA respecto del de las empresas comparadoras.</w:t>
      </w:r>
    </w:p>
    <w:p w14:paraId="07B40A06" w14:textId="77777777" w:rsidR="00E77025" w:rsidRPr="00E77025" w:rsidRDefault="00E77025" w:rsidP="00E77025">
      <w:pPr>
        <w:jc w:val="both"/>
      </w:pPr>
      <w:r w:rsidRPr="00893E8B">
        <w:t>Por lo anterior, respetuosamente solicitamos que la evaluación del componente extraordinario descanse principalmente en la evidencia territorial, operativa y técnica del caso concreto, y no de manera predominante en indicadores nacionales agregados que, por su propia naturaleza, no reflejan la severidad ni la concentración del fenómeno dentro de la zona de concesión. En ese sentido, se solicita reconsiderar la conclusión adoptada, a fin de que el reconocimiento extraordinario guarde una correspondencia más directa con la magnitud y características de la afectación efectivamente acreditada por ENSA.</w:t>
      </w:r>
    </w:p>
    <w:p w14:paraId="6B112CA5" w14:textId="77777777" w:rsidR="001F7D79" w:rsidRPr="001F7D79" w:rsidRDefault="001F7D79" w:rsidP="00035840"/>
    <w:sectPr w:rsidR="001F7D79" w:rsidRPr="001F7D7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66A8D"/>
    <w:multiLevelType w:val="multilevel"/>
    <w:tmpl w:val="E0860B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F35D40"/>
    <w:multiLevelType w:val="multilevel"/>
    <w:tmpl w:val="39864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517934"/>
    <w:multiLevelType w:val="multilevel"/>
    <w:tmpl w:val="28801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5C1FE8"/>
    <w:multiLevelType w:val="multilevel"/>
    <w:tmpl w:val="848C8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886F00"/>
    <w:multiLevelType w:val="multilevel"/>
    <w:tmpl w:val="36D4F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5545C5"/>
    <w:multiLevelType w:val="multilevel"/>
    <w:tmpl w:val="A502C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8F7323"/>
    <w:multiLevelType w:val="multilevel"/>
    <w:tmpl w:val="AA3EB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2E6B8A"/>
    <w:multiLevelType w:val="multilevel"/>
    <w:tmpl w:val="B6405B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5883D9F"/>
    <w:multiLevelType w:val="multilevel"/>
    <w:tmpl w:val="88048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1946A3"/>
    <w:multiLevelType w:val="multilevel"/>
    <w:tmpl w:val="24343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D23EC2"/>
    <w:multiLevelType w:val="multilevel"/>
    <w:tmpl w:val="A772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D774E8"/>
    <w:multiLevelType w:val="multilevel"/>
    <w:tmpl w:val="50D21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6761C7"/>
    <w:multiLevelType w:val="multilevel"/>
    <w:tmpl w:val="C65A0D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DE17BA"/>
    <w:multiLevelType w:val="multilevel"/>
    <w:tmpl w:val="EC2878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B410A2"/>
    <w:multiLevelType w:val="multilevel"/>
    <w:tmpl w:val="762CD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065368"/>
    <w:multiLevelType w:val="hybridMultilevel"/>
    <w:tmpl w:val="8C1ECBF2"/>
    <w:lvl w:ilvl="0" w:tplc="180A001B">
      <w:start w:val="1"/>
      <w:numFmt w:val="lowerRoman"/>
      <w:lvlText w:val="%1."/>
      <w:lvlJc w:val="righ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16" w15:restartNumberingAfterBreak="0">
    <w:nsid w:val="683E4F16"/>
    <w:multiLevelType w:val="multilevel"/>
    <w:tmpl w:val="69AA3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584C49"/>
    <w:multiLevelType w:val="multilevel"/>
    <w:tmpl w:val="A0BCB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8745839">
    <w:abstractNumId w:val="7"/>
  </w:num>
  <w:num w:numId="2" w16cid:durableId="1542591558">
    <w:abstractNumId w:val="2"/>
  </w:num>
  <w:num w:numId="3" w16cid:durableId="1753431815">
    <w:abstractNumId w:val="9"/>
  </w:num>
  <w:num w:numId="4" w16cid:durableId="1757365637">
    <w:abstractNumId w:val="17"/>
  </w:num>
  <w:num w:numId="5" w16cid:durableId="1831868975">
    <w:abstractNumId w:val="4"/>
  </w:num>
  <w:num w:numId="6" w16cid:durableId="1866405113">
    <w:abstractNumId w:val="14"/>
  </w:num>
  <w:num w:numId="7" w16cid:durableId="1886717126">
    <w:abstractNumId w:val="3"/>
  </w:num>
  <w:num w:numId="8" w16cid:durableId="2080011553">
    <w:abstractNumId w:val="13"/>
  </w:num>
  <w:num w:numId="9" w16cid:durableId="211116961">
    <w:abstractNumId w:val="15"/>
  </w:num>
  <w:num w:numId="10" w16cid:durableId="2143188073">
    <w:abstractNumId w:val="16"/>
  </w:num>
  <w:num w:numId="11" w16cid:durableId="237717404">
    <w:abstractNumId w:val="12"/>
  </w:num>
  <w:num w:numId="12" w16cid:durableId="450442440">
    <w:abstractNumId w:val="6"/>
  </w:num>
  <w:num w:numId="13" w16cid:durableId="514659958">
    <w:abstractNumId w:val="1"/>
  </w:num>
  <w:num w:numId="14" w16cid:durableId="56630568">
    <w:abstractNumId w:val="10"/>
  </w:num>
  <w:num w:numId="15" w16cid:durableId="694237956">
    <w:abstractNumId w:val="0"/>
  </w:num>
  <w:num w:numId="16" w16cid:durableId="79645500">
    <w:abstractNumId w:val="11"/>
  </w:num>
  <w:num w:numId="17" w16cid:durableId="846022658">
    <w:abstractNumId w:val="8"/>
  </w:num>
  <w:num w:numId="18" w16cid:durableId="9949882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F77"/>
    <w:rsid w:val="00001925"/>
    <w:rsid w:val="00001E94"/>
    <w:rsid w:val="00003DEE"/>
    <w:rsid w:val="00011577"/>
    <w:rsid w:val="00012566"/>
    <w:rsid w:val="000131D6"/>
    <w:rsid w:val="00020726"/>
    <w:rsid w:val="0002226A"/>
    <w:rsid w:val="0002337B"/>
    <w:rsid w:val="00035840"/>
    <w:rsid w:val="00035962"/>
    <w:rsid w:val="0004789A"/>
    <w:rsid w:val="00050387"/>
    <w:rsid w:val="00051492"/>
    <w:rsid w:val="00060E93"/>
    <w:rsid w:val="000638EC"/>
    <w:rsid w:val="00063F36"/>
    <w:rsid w:val="00065E84"/>
    <w:rsid w:val="00067A02"/>
    <w:rsid w:val="00083AFF"/>
    <w:rsid w:val="0008693D"/>
    <w:rsid w:val="00095A9E"/>
    <w:rsid w:val="000A0C81"/>
    <w:rsid w:val="000A46AD"/>
    <w:rsid w:val="000A4CF7"/>
    <w:rsid w:val="000A7E12"/>
    <w:rsid w:val="000B487C"/>
    <w:rsid w:val="000B6757"/>
    <w:rsid w:val="000C3419"/>
    <w:rsid w:val="000C4A47"/>
    <w:rsid w:val="000D4F37"/>
    <w:rsid w:val="000E01F5"/>
    <w:rsid w:val="000E3302"/>
    <w:rsid w:val="000E40BE"/>
    <w:rsid w:val="000E7FF3"/>
    <w:rsid w:val="000F12D7"/>
    <w:rsid w:val="000F294C"/>
    <w:rsid w:val="000F646B"/>
    <w:rsid w:val="000F7C15"/>
    <w:rsid w:val="00106F77"/>
    <w:rsid w:val="00107AC4"/>
    <w:rsid w:val="00112965"/>
    <w:rsid w:val="0011341E"/>
    <w:rsid w:val="00124A2B"/>
    <w:rsid w:val="0013074B"/>
    <w:rsid w:val="00136561"/>
    <w:rsid w:val="00136EF9"/>
    <w:rsid w:val="00144DCD"/>
    <w:rsid w:val="00154CE8"/>
    <w:rsid w:val="0015523C"/>
    <w:rsid w:val="00155936"/>
    <w:rsid w:val="00156851"/>
    <w:rsid w:val="00162CEC"/>
    <w:rsid w:val="00163A6E"/>
    <w:rsid w:val="001646B9"/>
    <w:rsid w:val="00177EF4"/>
    <w:rsid w:val="001815B2"/>
    <w:rsid w:val="00192BA9"/>
    <w:rsid w:val="001945B5"/>
    <w:rsid w:val="001A78B6"/>
    <w:rsid w:val="001A7BEE"/>
    <w:rsid w:val="001B3B27"/>
    <w:rsid w:val="001B7884"/>
    <w:rsid w:val="001C6325"/>
    <w:rsid w:val="001C747C"/>
    <w:rsid w:val="001F7D79"/>
    <w:rsid w:val="0020690B"/>
    <w:rsid w:val="0022124D"/>
    <w:rsid w:val="00222168"/>
    <w:rsid w:val="002311FE"/>
    <w:rsid w:val="002371DF"/>
    <w:rsid w:val="0024197F"/>
    <w:rsid w:val="00262608"/>
    <w:rsid w:val="0027585F"/>
    <w:rsid w:val="00281974"/>
    <w:rsid w:val="0028729C"/>
    <w:rsid w:val="00297800"/>
    <w:rsid w:val="002A2D53"/>
    <w:rsid w:val="002D3887"/>
    <w:rsid w:val="002D3E6F"/>
    <w:rsid w:val="002D4597"/>
    <w:rsid w:val="002D4641"/>
    <w:rsid w:val="002D547D"/>
    <w:rsid w:val="002F5967"/>
    <w:rsid w:val="0030069A"/>
    <w:rsid w:val="00304D78"/>
    <w:rsid w:val="00310E7B"/>
    <w:rsid w:val="00317B9B"/>
    <w:rsid w:val="00322AC3"/>
    <w:rsid w:val="00322D66"/>
    <w:rsid w:val="00323514"/>
    <w:rsid w:val="00323A1B"/>
    <w:rsid w:val="00325448"/>
    <w:rsid w:val="003255DC"/>
    <w:rsid w:val="00332ED0"/>
    <w:rsid w:val="00344C84"/>
    <w:rsid w:val="00353916"/>
    <w:rsid w:val="00354808"/>
    <w:rsid w:val="0035499E"/>
    <w:rsid w:val="003557A7"/>
    <w:rsid w:val="0036320A"/>
    <w:rsid w:val="00370276"/>
    <w:rsid w:val="00385E67"/>
    <w:rsid w:val="00392DAF"/>
    <w:rsid w:val="00392FC1"/>
    <w:rsid w:val="0039436A"/>
    <w:rsid w:val="003A747D"/>
    <w:rsid w:val="003B6108"/>
    <w:rsid w:val="003C16E6"/>
    <w:rsid w:val="003C382E"/>
    <w:rsid w:val="003D28A2"/>
    <w:rsid w:val="003D72C0"/>
    <w:rsid w:val="003E3CC9"/>
    <w:rsid w:val="003F5F14"/>
    <w:rsid w:val="004129DD"/>
    <w:rsid w:val="004273D2"/>
    <w:rsid w:val="00431DA6"/>
    <w:rsid w:val="00434BC2"/>
    <w:rsid w:val="00436979"/>
    <w:rsid w:val="00457894"/>
    <w:rsid w:val="00473288"/>
    <w:rsid w:val="0047378E"/>
    <w:rsid w:val="00473D49"/>
    <w:rsid w:val="00477EEF"/>
    <w:rsid w:val="0048119B"/>
    <w:rsid w:val="004924BF"/>
    <w:rsid w:val="00493094"/>
    <w:rsid w:val="0049776A"/>
    <w:rsid w:val="004A46AE"/>
    <w:rsid w:val="004A6FF2"/>
    <w:rsid w:val="004D7E0A"/>
    <w:rsid w:val="00500607"/>
    <w:rsid w:val="00507972"/>
    <w:rsid w:val="00511636"/>
    <w:rsid w:val="00515C7D"/>
    <w:rsid w:val="00524C60"/>
    <w:rsid w:val="00527C5C"/>
    <w:rsid w:val="00530074"/>
    <w:rsid w:val="005369C2"/>
    <w:rsid w:val="0053747B"/>
    <w:rsid w:val="00537C6C"/>
    <w:rsid w:val="005422D0"/>
    <w:rsid w:val="00543FC9"/>
    <w:rsid w:val="00545993"/>
    <w:rsid w:val="00557BC2"/>
    <w:rsid w:val="00557DC9"/>
    <w:rsid w:val="00561D1A"/>
    <w:rsid w:val="00574C5A"/>
    <w:rsid w:val="005815E6"/>
    <w:rsid w:val="00584624"/>
    <w:rsid w:val="00584881"/>
    <w:rsid w:val="0059008B"/>
    <w:rsid w:val="00596851"/>
    <w:rsid w:val="005A431B"/>
    <w:rsid w:val="005B100A"/>
    <w:rsid w:val="005B32C3"/>
    <w:rsid w:val="005C1CA7"/>
    <w:rsid w:val="005C7481"/>
    <w:rsid w:val="005D1715"/>
    <w:rsid w:val="005D186C"/>
    <w:rsid w:val="005D3CFD"/>
    <w:rsid w:val="005D481A"/>
    <w:rsid w:val="005D5633"/>
    <w:rsid w:val="005E01F8"/>
    <w:rsid w:val="006118DC"/>
    <w:rsid w:val="00625284"/>
    <w:rsid w:val="006313A7"/>
    <w:rsid w:val="00631E99"/>
    <w:rsid w:val="006446FE"/>
    <w:rsid w:val="00645FE6"/>
    <w:rsid w:val="00661F90"/>
    <w:rsid w:val="00662E3C"/>
    <w:rsid w:val="00676D76"/>
    <w:rsid w:val="00682993"/>
    <w:rsid w:val="00693753"/>
    <w:rsid w:val="006B4B47"/>
    <w:rsid w:val="006C08E5"/>
    <w:rsid w:val="006D567E"/>
    <w:rsid w:val="006E0C87"/>
    <w:rsid w:val="00703416"/>
    <w:rsid w:val="00722180"/>
    <w:rsid w:val="00727F21"/>
    <w:rsid w:val="00740BD4"/>
    <w:rsid w:val="0075239F"/>
    <w:rsid w:val="00766762"/>
    <w:rsid w:val="00775F0E"/>
    <w:rsid w:val="007A3C42"/>
    <w:rsid w:val="007A76FC"/>
    <w:rsid w:val="007B06B5"/>
    <w:rsid w:val="007D1A26"/>
    <w:rsid w:val="007D230F"/>
    <w:rsid w:val="007D264D"/>
    <w:rsid w:val="007F1303"/>
    <w:rsid w:val="007F3194"/>
    <w:rsid w:val="008035AE"/>
    <w:rsid w:val="008148C2"/>
    <w:rsid w:val="00825C85"/>
    <w:rsid w:val="008264E2"/>
    <w:rsid w:val="00832242"/>
    <w:rsid w:val="0083292F"/>
    <w:rsid w:val="00834290"/>
    <w:rsid w:val="008359C6"/>
    <w:rsid w:val="00837CED"/>
    <w:rsid w:val="00841340"/>
    <w:rsid w:val="0084212C"/>
    <w:rsid w:val="008437E4"/>
    <w:rsid w:val="00855BCC"/>
    <w:rsid w:val="00856173"/>
    <w:rsid w:val="00856BDD"/>
    <w:rsid w:val="00881548"/>
    <w:rsid w:val="008818D8"/>
    <w:rsid w:val="00885C3A"/>
    <w:rsid w:val="00891FFC"/>
    <w:rsid w:val="00893E8B"/>
    <w:rsid w:val="0089702D"/>
    <w:rsid w:val="008A3979"/>
    <w:rsid w:val="008A7440"/>
    <w:rsid w:val="008B698E"/>
    <w:rsid w:val="008D7E91"/>
    <w:rsid w:val="008E7F66"/>
    <w:rsid w:val="008F320A"/>
    <w:rsid w:val="008F6FD1"/>
    <w:rsid w:val="00901D7D"/>
    <w:rsid w:val="00906F61"/>
    <w:rsid w:val="00912005"/>
    <w:rsid w:val="00914361"/>
    <w:rsid w:val="0091720A"/>
    <w:rsid w:val="00921E0A"/>
    <w:rsid w:val="00922BA9"/>
    <w:rsid w:val="00931B03"/>
    <w:rsid w:val="0093258B"/>
    <w:rsid w:val="00937D77"/>
    <w:rsid w:val="00947769"/>
    <w:rsid w:val="00950727"/>
    <w:rsid w:val="0095607C"/>
    <w:rsid w:val="0095687D"/>
    <w:rsid w:val="00956C86"/>
    <w:rsid w:val="00963EB2"/>
    <w:rsid w:val="009711F9"/>
    <w:rsid w:val="0097401B"/>
    <w:rsid w:val="00986604"/>
    <w:rsid w:val="00986FD6"/>
    <w:rsid w:val="00992DE0"/>
    <w:rsid w:val="009947CE"/>
    <w:rsid w:val="00995279"/>
    <w:rsid w:val="0099628E"/>
    <w:rsid w:val="009A2B0F"/>
    <w:rsid w:val="009C09D2"/>
    <w:rsid w:val="009D00F5"/>
    <w:rsid w:val="009D357D"/>
    <w:rsid w:val="009E4EEB"/>
    <w:rsid w:val="009F4DB4"/>
    <w:rsid w:val="00A05BB0"/>
    <w:rsid w:val="00A06834"/>
    <w:rsid w:val="00A1143C"/>
    <w:rsid w:val="00A15B00"/>
    <w:rsid w:val="00A20EE1"/>
    <w:rsid w:val="00A3195B"/>
    <w:rsid w:val="00A334F3"/>
    <w:rsid w:val="00A440EB"/>
    <w:rsid w:val="00A44FDA"/>
    <w:rsid w:val="00A52EC0"/>
    <w:rsid w:val="00A577E0"/>
    <w:rsid w:val="00A6190F"/>
    <w:rsid w:val="00A65052"/>
    <w:rsid w:val="00A9451A"/>
    <w:rsid w:val="00AA2119"/>
    <w:rsid w:val="00AA3211"/>
    <w:rsid w:val="00AA4D77"/>
    <w:rsid w:val="00AC1125"/>
    <w:rsid w:val="00AD0608"/>
    <w:rsid w:val="00AE3D1A"/>
    <w:rsid w:val="00AF0475"/>
    <w:rsid w:val="00AF052F"/>
    <w:rsid w:val="00AF3602"/>
    <w:rsid w:val="00B02829"/>
    <w:rsid w:val="00B15040"/>
    <w:rsid w:val="00B3511E"/>
    <w:rsid w:val="00B40708"/>
    <w:rsid w:val="00B4091D"/>
    <w:rsid w:val="00B415C2"/>
    <w:rsid w:val="00B55525"/>
    <w:rsid w:val="00B60BD9"/>
    <w:rsid w:val="00B62425"/>
    <w:rsid w:val="00B62B2E"/>
    <w:rsid w:val="00B8260F"/>
    <w:rsid w:val="00B96C77"/>
    <w:rsid w:val="00B97753"/>
    <w:rsid w:val="00BA2E4C"/>
    <w:rsid w:val="00BB33D5"/>
    <w:rsid w:val="00BB4323"/>
    <w:rsid w:val="00BB612D"/>
    <w:rsid w:val="00BC05CD"/>
    <w:rsid w:val="00BD2725"/>
    <w:rsid w:val="00BE2683"/>
    <w:rsid w:val="00BF5D3C"/>
    <w:rsid w:val="00C04984"/>
    <w:rsid w:val="00C06211"/>
    <w:rsid w:val="00C130A6"/>
    <w:rsid w:val="00C1421E"/>
    <w:rsid w:val="00C21836"/>
    <w:rsid w:val="00C5428A"/>
    <w:rsid w:val="00C66CAD"/>
    <w:rsid w:val="00C67069"/>
    <w:rsid w:val="00C76C1D"/>
    <w:rsid w:val="00C87ABA"/>
    <w:rsid w:val="00C903F7"/>
    <w:rsid w:val="00CA0561"/>
    <w:rsid w:val="00CA4FFC"/>
    <w:rsid w:val="00CA555B"/>
    <w:rsid w:val="00CD2EAE"/>
    <w:rsid w:val="00CD4B7F"/>
    <w:rsid w:val="00CE5E97"/>
    <w:rsid w:val="00CE7C74"/>
    <w:rsid w:val="00CF39EC"/>
    <w:rsid w:val="00CF4348"/>
    <w:rsid w:val="00D04D49"/>
    <w:rsid w:val="00D128F1"/>
    <w:rsid w:val="00D2245F"/>
    <w:rsid w:val="00D31927"/>
    <w:rsid w:val="00D322C0"/>
    <w:rsid w:val="00D37BC9"/>
    <w:rsid w:val="00D438AC"/>
    <w:rsid w:val="00D47022"/>
    <w:rsid w:val="00D5145C"/>
    <w:rsid w:val="00D51F75"/>
    <w:rsid w:val="00D54088"/>
    <w:rsid w:val="00D55456"/>
    <w:rsid w:val="00D55C07"/>
    <w:rsid w:val="00D93F97"/>
    <w:rsid w:val="00D96FE3"/>
    <w:rsid w:val="00D9740F"/>
    <w:rsid w:val="00DB0110"/>
    <w:rsid w:val="00DB2786"/>
    <w:rsid w:val="00DB604D"/>
    <w:rsid w:val="00DB772E"/>
    <w:rsid w:val="00E02071"/>
    <w:rsid w:val="00E03A22"/>
    <w:rsid w:val="00E05290"/>
    <w:rsid w:val="00E059C0"/>
    <w:rsid w:val="00E226B1"/>
    <w:rsid w:val="00E254BF"/>
    <w:rsid w:val="00E2636A"/>
    <w:rsid w:val="00E30A51"/>
    <w:rsid w:val="00E32362"/>
    <w:rsid w:val="00E445B5"/>
    <w:rsid w:val="00E56E70"/>
    <w:rsid w:val="00E6161F"/>
    <w:rsid w:val="00E77025"/>
    <w:rsid w:val="00E807A6"/>
    <w:rsid w:val="00E87740"/>
    <w:rsid w:val="00E91076"/>
    <w:rsid w:val="00E976CC"/>
    <w:rsid w:val="00EA04DE"/>
    <w:rsid w:val="00EA673E"/>
    <w:rsid w:val="00EB75C5"/>
    <w:rsid w:val="00ED3124"/>
    <w:rsid w:val="00ED4CB4"/>
    <w:rsid w:val="00EE392A"/>
    <w:rsid w:val="00EE48DE"/>
    <w:rsid w:val="00EE7325"/>
    <w:rsid w:val="00EF19BB"/>
    <w:rsid w:val="00EF36DB"/>
    <w:rsid w:val="00F01ABF"/>
    <w:rsid w:val="00F16855"/>
    <w:rsid w:val="00F2611C"/>
    <w:rsid w:val="00F30348"/>
    <w:rsid w:val="00F32C2E"/>
    <w:rsid w:val="00F4119B"/>
    <w:rsid w:val="00F41FC4"/>
    <w:rsid w:val="00F4409E"/>
    <w:rsid w:val="00F633DC"/>
    <w:rsid w:val="00F700AA"/>
    <w:rsid w:val="00F72188"/>
    <w:rsid w:val="00F7675C"/>
    <w:rsid w:val="00F8084C"/>
    <w:rsid w:val="00F81361"/>
    <w:rsid w:val="00F8475C"/>
    <w:rsid w:val="00F93BF5"/>
    <w:rsid w:val="00FA7423"/>
    <w:rsid w:val="00FB414F"/>
    <w:rsid w:val="00FC2A7C"/>
    <w:rsid w:val="00FD2E9A"/>
    <w:rsid w:val="00FF18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4F771"/>
  <w15:chartTrackingRefBased/>
  <w15:docId w15:val="{2DDCF7D8-36F4-413A-9FF7-2D172703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P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rsid w:val="00106F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uiPriority w:val="9"/>
    <w:unhideWhenUsed/>
    <w:qFormat/>
    <w:rsid w:val="00106F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uiPriority w:val="9"/>
    <w:unhideWhenUsed/>
    <w:qFormat/>
    <w:rsid w:val="00106F7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uiPriority w:val="9"/>
    <w:semiHidden/>
    <w:unhideWhenUsed/>
    <w:qFormat/>
    <w:rsid w:val="00106F7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uiPriority w:val="9"/>
    <w:semiHidden/>
    <w:unhideWhenUsed/>
    <w:qFormat/>
    <w:rsid w:val="00106F7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uiPriority w:val="9"/>
    <w:semiHidden/>
    <w:unhideWhenUsed/>
    <w:qFormat/>
    <w:rsid w:val="00106F7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uiPriority w:val="9"/>
    <w:semiHidden/>
    <w:unhideWhenUsed/>
    <w:qFormat/>
    <w:rsid w:val="00106F7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uiPriority w:val="9"/>
    <w:semiHidden/>
    <w:unhideWhenUsed/>
    <w:qFormat/>
    <w:rsid w:val="00106F7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uiPriority w:val="9"/>
    <w:semiHidden/>
    <w:unhideWhenUsed/>
    <w:qFormat/>
    <w:rsid w:val="00106F7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Prrafodelista">
    <w:name w:val="List Paragraph"/>
    <w:basedOn w:val="Normal"/>
    <w:uiPriority w:val="34"/>
    <w:qFormat/>
    <w:rsid w:val="00106F77"/>
    <w:pPr>
      <w:ind w:left="720"/>
      <w:contextualSpacing/>
    </w:pPr>
  </w:style>
  <w:style w:type="character" w:styleId="nfasisintenso">
    <w:name w:val="Intense Emphasis"/>
    <w:basedOn w:val="Fuentedeprrafopredeter"/>
    <w:uiPriority w:val="21"/>
    <w:qFormat/>
    <w:rsid w:val="00106F77"/>
    <w:rPr>
      <w:i/>
      <w:iCs/>
      <w:color w:val="0F4761" w:themeColor="accent1" w:themeShade="BF"/>
    </w:rPr>
  </w:style>
  <w:style w:type="character" w:styleId="Referenciaintensa">
    <w:name w:val="Intense Reference"/>
    <w:basedOn w:val="Fuentedeprrafopredeter"/>
    <w:uiPriority w:val="32"/>
    <w:qFormat/>
    <w:rsid w:val="00106F77"/>
    <w:rPr>
      <w:b/>
      <w:bCs/>
      <w:smallCaps/>
      <w:color w:val="0F4761" w:themeColor="accent1" w:themeShade="BF"/>
      <w:spacing w:val="5"/>
    </w:rPr>
  </w:style>
  <w:style w:type="character" w:customStyle="1" w:styleId="Ttulo1Car">
    <w:name w:val="Título 1 Car"/>
    <w:basedOn w:val="Fuentedeprrafopredeter"/>
    <w:uiPriority w:val="9"/>
    <w:rsid w:val="00A6190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uiPriority w:val="9"/>
    <w:rsid w:val="00A6190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uiPriority w:val="9"/>
    <w:semiHidden/>
    <w:rsid w:val="00A6190F"/>
    <w:rPr>
      <w:rFonts w:eastAsiaTheme="majorEastAsia" w:cstheme="majorBidi"/>
      <w:color w:val="0F4761" w:themeColor="accent1" w:themeShade="BF"/>
      <w:sz w:val="28"/>
      <w:szCs w:val="28"/>
    </w:rPr>
  </w:style>
  <w:style w:type="character" w:customStyle="1" w:styleId="Ttulo4Car">
    <w:name w:val="Título 4 Car"/>
    <w:basedOn w:val="Fuentedeprrafopredeter"/>
    <w:uiPriority w:val="9"/>
    <w:semiHidden/>
    <w:rsid w:val="00A6190F"/>
    <w:rPr>
      <w:rFonts w:eastAsiaTheme="majorEastAsia" w:cstheme="majorBidi"/>
      <w:i/>
      <w:iCs/>
      <w:color w:val="0F4761" w:themeColor="accent1" w:themeShade="BF"/>
    </w:rPr>
  </w:style>
  <w:style w:type="character" w:customStyle="1" w:styleId="Ttulo5Car">
    <w:name w:val="Título 5 Car"/>
    <w:basedOn w:val="Fuentedeprrafopredeter"/>
    <w:uiPriority w:val="9"/>
    <w:semiHidden/>
    <w:rsid w:val="00A6190F"/>
    <w:rPr>
      <w:rFonts w:eastAsiaTheme="majorEastAsia" w:cstheme="majorBidi"/>
      <w:color w:val="0F4761" w:themeColor="accent1" w:themeShade="BF"/>
    </w:rPr>
  </w:style>
  <w:style w:type="character" w:customStyle="1" w:styleId="Ttulo6Car">
    <w:name w:val="Título 6 Car"/>
    <w:basedOn w:val="Fuentedeprrafopredeter"/>
    <w:uiPriority w:val="9"/>
    <w:semiHidden/>
    <w:rsid w:val="00A6190F"/>
    <w:rPr>
      <w:rFonts w:eastAsiaTheme="majorEastAsia" w:cstheme="majorBidi"/>
      <w:i/>
      <w:iCs/>
      <w:color w:val="595959" w:themeColor="text1" w:themeTint="A6"/>
    </w:rPr>
  </w:style>
  <w:style w:type="character" w:customStyle="1" w:styleId="Ttulo7Car">
    <w:name w:val="Título 7 Car"/>
    <w:basedOn w:val="Fuentedeprrafopredeter"/>
    <w:uiPriority w:val="9"/>
    <w:semiHidden/>
    <w:rsid w:val="00A6190F"/>
    <w:rPr>
      <w:rFonts w:eastAsiaTheme="majorEastAsia" w:cstheme="majorBidi"/>
      <w:color w:val="595959" w:themeColor="text1" w:themeTint="A6"/>
    </w:rPr>
  </w:style>
  <w:style w:type="character" w:customStyle="1" w:styleId="Ttulo8Car">
    <w:name w:val="Título 8 Car"/>
    <w:basedOn w:val="Fuentedeprrafopredeter"/>
    <w:uiPriority w:val="9"/>
    <w:semiHidden/>
    <w:rsid w:val="00A6190F"/>
    <w:rPr>
      <w:rFonts w:eastAsiaTheme="majorEastAsia" w:cstheme="majorBidi"/>
      <w:i/>
      <w:iCs/>
      <w:color w:val="272727" w:themeColor="text1" w:themeTint="D8"/>
    </w:rPr>
  </w:style>
  <w:style w:type="character" w:customStyle="1" w:styleId="Ttulo9Car">
    <w:name w:val="Título 9 Car"/>
    <w:basedOn w:val="Fuentedeprrafopredeter"/>
    <w:uiPriority w:val="9"/>
    <w:semiHidden/>
    <w:rsid w:val="00A6190F"/>
    <w:rPr>
      <w:rFonts w:eastAsiaTheme="majorEastAsia" w:cstheme="majorBidi"/>
      <w:color w:val="272727" w:themeColor="text1" w:themeTint="D8"/>
    </w:rPr>
  </w:style>
  <w:style w:type="character" w:customStyle="1" w:styleId="TtuloCar">
    <w:name w:val="Título Car"/>
    <w:basedOn w:val="Fuentedeprrafopredeter"/>
    <w:uiPriority w:val="10"/>
    <w:rsid w:val="00A6190F"/>
    <w:rPr>
      <w:rFonts w:asciiTheme="majorHAnsi" w:eastAsiaTheme="majorEastAsia" w:hAnsiTheme="majorHAnsi" w:cstheme="majorBidi"/>
      <w:spacing w:val="-10"/>
      <w:kern w:val="28"/>
      <w:sz w:val="56"/>
      <w:szCs w:val="56"/>
    </w:rPr>
  </w:style>
  <w:style w:type="character" w:customStyle="1" w:styleId="SubttuloCar">
    <w:name w:val="Subtítulo Car"/>
    <w:basedOn w:val="Fuentedeprrafopredeter"/>
    <w:uiPriority w:val="11"/>
    <w:rsid w:val="00A6190F"/>
    <w:rPr>
      <w:rFonts w:eastAsiaTheme="majorEastAsia" w:cstheme="majorBidi"/>
      <w:color w:val="595959" w:themeColor="text1" w:themeTint="A6"/>
      <w:spacing w:val="15"/>
      <w:sz w:val="28"/>
      <w:szCs w:val="28"/>
    </w:rPr>
  </w:style>
  <w:style w:type="character" w:customStyle="1" w:styleId="CitaCar">
    <w:name w:val="Cita Car"/>
    <w:basedOn w:val="Fuentedeprrafopredeter"/>
    <w:uiPriority w:val="29"/>
    <w:rsid w:val="00A6190F"/>
    <w:rPr>
      <w:i/>
      <w:iCs/>
      <w:color w:val="404040" w:themeColor="text1" w:themeTint="BF"/>
    </w:rPr>
  </w:style>
  <w:style w:type="character" w:customStyle="1" w:styleId="CitadestacadaCar">
    <w:name w:val="Cita destacada Car"/>
    <w:basedOn w:val="Fuentedeprrafopredeter"/>
    <w:uiPriority w:val="30"/>
    <w:rsid w:val="00A6190F"/>
    <w:rPr>
      <w:i/>
      <w:iCs/>
      <w:color w:val="0F476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sponsables xmlns="7140a857-403b-41d5-a8d9-cc1a808c9d7b">
      <UserInfo>
        <DisplayName/>
        <AccountId xsi:nil="true"/>
        <AccountType/>
      </UserInfo>
    </Responsables>
    <Publicaci_x00f3_nASEP xmlns="7140a857-403b-41d5-a8d9-cc1a808c9d7b">
      <Url xsi:nil="true"/>
      <Description xsi:nil="true"/>
    </Publicaci_x00f3_nASEP>
    <Tema xmlns="7140a857-403b-41d5-a8d9-cc1a808c9d7b" xsi:nil="true"/>
    <FechaEntregaComentarios xmlns="7140a857-403b-41d5-a8d9-cc1a808c9d7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4EF5987DAB08D429497ADFDB3670579" ma:contentTypeVersion="7" ma:contentTypeDescription="Crear nuevo documento." ma:contentTypeScope="" ma:versionID="a8184509ae02c8552254b8f273fceac8">
  <xsd:schema xmlns:xsd="http://www.w3.org/2001/XMLSchema" xmlns:xs="http://www.w3.org/2001/XMLSchema" xmlns:p="http://schemas.microsoft.com/office/2006/metadata/properties" xmlns:ns2="7140a857-403b-41d5-a8d9-cc1a808c9d7b" targetNamespace="http://schemas.microsoft.com/office/2006/metadata/properties" ma:root="true" ma:fieldsID="ea723a9b28f609622d8d3b7585583a94" ns2:_="">
    <xsd:import namespace="7140a857-403b-41d5-a8d9-cc1a808c9d7b"/>
    <xsd:element name="properties">
      <xsd:complexType>
        <xsd:sequence>
          <xsd:element name="documentManagement">
            <xsd:complexType>
              <xsd:all>
                <xsd:element ref="ns2:Tema" minOccurs="0"/>
                <xsd:element ref="ns2:Publicaci_x00f3_nASEP" minOccurs="0"/>
                <xsd:element ref="ns2:FechaEntregaComentarios" minOccurs="0"/>
                <xsd:element ref="ns2:MediaServiceMetadata" minOccurs="0"/>
                <xsd:element ref="ns2:MediaServiceFastMetadata" minOccurs="0"/>
                <xsd:element ref="ns2:MediaServiceSearchProperties" minOccurs="0"/>
                <xsd:element ref="ns2:Responsabl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0a857-403b-41d5-a8d9-cc1a808c9d7b" elementFormDefault="qualified">
    <xsd:import namespace="http://schemas.microsoft.com/office/2006/documentManagement/types"/>
    <xsd:import namespace="http://schemas.microsoft.com/office/infopath/2007/PartnerControls"/>
    <xsd:element name="Tema" ma:index="8" nillable="true" ma:displayName="Tema" ma:internalName="Tema">
      <xsd:simpleType>
        <xsd:restriction base="dms:Text">
          <xsd:maxLength value="255"/>
        </xsd:restriction>
      </xsd:simpleType>
    </xsd:element>
    <xsd:element name="Publicaci_x00f3_nASEP" ma:index="9" nillable="true" ma:displayName="Publicación ASEP" ma:format="Hyperlink" ma:internalName="Publicaci_x00f3_nASEP">
      <xsd:complexType>
        <xsd:complexContent>
          <xsd:extension base="dms:URL">
            <xsd:sequence>
              <xsd:element name="Url" type="dms:ValidUrl" minOccurs="0" nillable="true"/>
              <xsd:element name="Description" type="xsd:string" nillable="true"/>
            </xsd:sequence>
          </xsd:extension>
        </xsd:complexContent>
      </xsd:complexType>
    </xsd:element>
    <xsd:element name="FechaEntregaComentarios" ma:index="10" nillable="true" ma:displayName="Fecha Entrega Comentarios" ma:format="DateTime" ma:internalName="FechaEntregaComentarios">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sponsables" ma:index="14" nillable="true" ma:displayName="Responsables" ma:format="Dropdown" ma:list="UserInfo" ma:SharePointGroup="0" ma:internalName="Responsable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003389-790E-4AE6-87E0-5C968A0E6E58}">
  <ds:schemaRefs>
    <ds:schemaRef ds:uri="http://schemas.microsoft.com/office/2006/metadata/properties"/>
    <ds:schemaRef ds:uri="http://schemas.microsoft.com/office/infopath/2007/PartnerControls"/>
    <ds:schemaRef ds:uri="7140a857-403b-41d5-a8d9-cc1a808c9d7b"/>
  </ds:schemaRefs>
</ds:datastoreItem>
</file>

<file path=customXml/itemProps2.xml><?xml version="1.0" encoding="utf-8"?>
<ds:datastoreItem xmlns:ds="http://schemas.openxmlformats.org/officeDocument/2006/customXml" ds:itemID="{65C9D104-F2A5-4CFB-9884-6DA0ACC3BFBA}">
  <ds:schemaRefs>
    <ds:schemaRef ds:uri="http://schemas.microsoft.com/sharepoint/v3/contenttype/forms"/>
  </ds:schemaRefs>
</ds:datastoreItem>
</file>

<file path=customXml/itemProps3.xml><?xml version="1.0" encoding="utf-8"?>
<ds:datastoreItem xmlns:ds="http://schemas.openxmlformats.org/officeDocument/2006/customXml" ds:itemID="{2A8BED39-15A9-4092-973E-2BAFFF1AF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0a857-403b-41d5-a8d9-cc1a808c9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5916</Words>
  <Characters>34508</Characters>
  <Application>Microsoft Office Word</Application>
  <DocSecurity>0</DocSecurity>
  <Lines>525</Lines>
  <Paragraphs>113</Paragraphs>
  <ScaleCrop>false</ScaleCrop>
  <Company/>
  <LinksUpToDate>false</LinksUpToDate>
  <CharactersWithSpaces>40361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Montenegro, Ricardo</dc:creator>
  <cp:keywords/>
  <dc:description/>
  <cp:lastModifiedBy>Cano, Moises</cp:lastModifiedBy>
  <cp:revision>21</cp:revision>
  <dcterms:created xsi:type="dcterms:W3CDTF">2026-03-31T04:53:00Z</dcterms:created>
  <dcterms:modified xsi:type="dcterms:W3CDTF">2026-04-01T17:12:00Z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0x01010014EF5987DAB08D429497ADFDB3670579</vt:lpwstr>
  </property>
</Properties>
</file>